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5B42" w14:textId="77777777" w:rsidR="00C011BD" w:rsidRDefault="00C011BD" w:rsidP="00C011BD">
      <w:pPr>
        <w:pStyle w:val="Kop1"/>
      </w:pPr>
      <w:r>
        <w:t>Beoordeling per geval</w:t>
      </w:r>
    </w:p>
    <w:p w14:paraId="4B7615DB" w14:textId="77777777" w:rsidR="00C011BD" w:rsidRDefault="00C011BD" w:rsidP="00C011BD"/>
    <w:p w14:paraId="5A0A99B3" w14:textId="7A424A82" w:rsidR="00C011BD" w:rsidRDefault="00C011BD" w:rsidP="00C011BD">
      <w:bookmarkStart w:id="0" w:name="_Hlk189488277"/>
      <w:r w:rsidRPr="00D33FA5">
        <w:t>Voor een beoordeling of er sprake is van een afvalstof of niet-afvalstof</w:t>
      </w:r>
      <w:bookmarkEnd w:id="0"/>
      <w:r w:rsidRPr="00D33FA5">
        <w:t xml:space="preserve"> moet er altijd ‘per geval’ een beoordeling plaatsvinden. Maar wat is eigenlijk ‘per geval’? En wanneer is er nog sprake van hetzelfde geval, of is er sprake van een nieuw geval?</w:t>
      </w:r>
    </w:p>
    <w:p w14:paraId="48F09251" w14:textId="77777777" w:rsidR="000472B2" w:rsidRDefault="000472B2" w:rsidP="00C011BD"/>
    <w:p w14:paraId="7679D7FA" w14:textId="7EF7F079" w:rsidR="000472B2" w:rsidRPr="000472B2" w:rsidRDefault="000472B2" w:rsidP="00C011BD">
      <w:pPr>
        <w:rPr>
          <w:b/>
          <w:bCs/>
        </w:rPr>
      </w:pPr>
      <w:r w:rsidRPr="000472B2">
        <w:rPr>
          <w:b/>
          <w:bCs/>
        </w:rPr>
        <w:t>Onderscheid ‘specifieke stroom’ en ‘per geval’</w:t>
      </w:r>
    </w:p>
    <w:p w14:paraId="632F9918" w14:textId="29551259" w:rsidR="000472B2" w:rsidRPr="00D33FA5" w:rsidRDefault="000472B2" w:rsidP="000472B2">
      <w:r w:rsidRPr="00D33FA5">
        <w:t>Voor een beoordeling of er sprake is van een afvalstof of niet-afvalstof</w:t>
      </w:r>
      <w:r>
        <w:t xml:space="preserve"> kunnen vanuit Europa of op nationaal niveau voor een specifieke stroom criteria worden vastgesteld. </w:t>
      </w:r>
      <w:r w:rsidRPr="000472B2">
        <w:t xml:space="preserve">Momenteel zijn er voor </w:t>
      </w:r>
      <w:r>
        <w:t>een aantal</w:t>
      </w:r>
      <w:r w:rsidRPr="000472B2">
        <w:t xml:space="preserve"> specifieke stromen gedetailleerde</w:t>
      </w:r>
      <w:r>
        <w:t xml:space="preserve"> criteria vastgesteld, zoals voor metaalschroot, kringloopglas en koperschroot</w:t>
      </w:r>
      <w:r>
        <w:rPr>
          <w:rStyle w:val="Voetnootmarkering"/>
        </w:rPr>
        <w:footnoteReference w:id="1"/>
      </w:r>
      <w:r>
        <w:t xml:space="preserve">. Alleen wanneer er geen criteria zijn vastgesteld voor een specifieke stroom mag er een beoordeling ‘per geval’ worden gemaakt. </w:t>
      </w:r>
    </w:p>
    <w:p w14:paraId="69CF19AE" w14:textId="77777777" w:rsidR="00C011BD" w:rsidRPr="00D33FA5" w:rsidRDefault="00C011BD" w:rsidP="00C011BD"/>
    <w:p w14:paraId="1006895F" w14:textId="3008C3DC" w:rsidR="00970C1D" w:rsidRPr="00D33FA5" w:rsidRDefault="00970C1D" w:rsidP="00C011BD">
      <w:pPr>
        <w:rPr>
          <w:b/>
          <w:bCs/>
        </w:rPr>
      </w:pPr>
      <w:r w:rsidRPr="00D33FA5">
        <w:rPr>
          <w:b/>
          <w:bCs/>
        </w:rPr>
        <w:t>Wat is ‘per geval’?</w:t>
      </w:r>
    </w:p>
    <w:p w14:paraId="600317CC" w14:textId="503157EA" w:rsidR="00C011BD" w:rsidRPr="00D33FA5" w:rsidRDefault="00C011BD" w:rsidP="00C011BD">
      <w:r w:rsidRPr="00D33FA5">
        <w:t>Wat precies ‘per geval’ is</w:t>
      </w:r>
      <w:r w:rsidR="00970C1D" w:rsidRPr="00D33FA5">
        <w:t xml:space="preserve"> zal voor verschillende onderwerpen verschillend worden uitgelegd. Hier zal alleen worden ingegaan op de betekenis van ‘per geval’ in het kader van de vraag of er sprake is van een afvalstof of een niet-afvalstof. </w:t>
      </w:r>
    </w:p>
    <w:p w14:paraId="64D0E54D" w14:textId="77777777" w:rsidR="00970C1D" w:rsidRPr="00D33FA5" w:rsidRDefault="00970C1D" w:rsidP="00C011BD"/>
    <w:p w14:paraId="2F84A213" w14:textId="03D6101B" w:rsidR="00970C1D" w:rsidRPr="00D33FA5" w:rsidRDefault="00970C1D" w:rsidP="00C011BD">
      <w:r w:rsidRPr="00D33FA5">
        <w:t xml:space="preserve">Voor het onderwerp afvalstof of niet-afvalstof wordt er met ‘per geval’ bedoeld: </w:t>
      </w:r>
      <w:r w:rsidR="00D36598" w:rsidRPr="00D33FA5">
        <w:t>“</w:t>
      </w:r>
      <w:r w:rsidR="00C011BD" w:rsidRPr="00D33FA5">
        <w:rPr>
          <w:i/>
          <w:iCs/>
        </w:rPr>
        <w:t>in het licht van de voor dat materiaal specifieke feiten en omstandigheden</w:t>
      </w:r>
      <w:r w:rsidR="00D36598" w:rsidRPr="00D33FA5">
        <w:rPr>
          <w:i/>
          <w:iCs/>
        </w:rPr>
        <w:t>”</w:t>
      </w:r>
      <w:r w:rsidR="00C011BD" w:rsidRPr="00D33FA5">
        <w:rPr>
          <w:i/>
          <w:iCs/>
        </w:rPr>
        <w:t xml:space="preserve"> </w:t>
      </w:r>
    </w:p>
    <w:p w14:paraId="1BEF710A" w14:textId="77777777" w:rsidR="00C011BD" w:rsidRDefault="00C011BD" w:rsidP="00C011BD"/>
    <w:p w14:paraId="4697BF56" w14:textId="77777777" w:rsidR="00BF24B5" w:rsidRDefault="00BF24B5" w:rsidP="00C011BD"/>
    <w:p w14:paraId="3988EF5B" w14:textId="6A2E864A" w:rsidR="00BF24B5" w:rsidRPr="00D33FA5" w:rsidRDefault="00261560" w:rsidP="00C011BD">
      <w:pPr>
        <w:rPr>
          <w:sz w:val="16"/>
          <w:szCs w:val="16"/>
        </w:rPr>
      </w:pPr>
      <w:r w:rsidRPr="00B908F7">
        <w:rPr>
          <w:sz w:val="16"/>
          <w:szCs w:val="16"/>
        </w:rPr>
        <w:t xml:space="preserve">Dit volgt onder andere uit het arrest </w:t>
      </w:r>
      <w:r w:rsidRPr="00B908F7">
        <w:rPr>
          <w:b/>
          <w:bCs/>
          <w:sz w:val="16"/>
          <w:szCs w:val="16"/>
        </w:rPr>
        <w:t>ARCO Chemie Nederland</w:t>
      </w:r>
      <w:r w:rsidRPr="00B908F7">
        <w:rPr>
          <w:sz w:val="16"/>
          <w:szCs w:val="16"/>
        </w:rPr>
        <w:t xml:space="preserve"> (</w:t>
      </w:r>
      <w:proofErr w:type="spellStart"/>
      <w:r w:rsidRPr="00B908F7">
        <w:rPr>
          <w:sz w:val="16"/>
          <w:szCs w:val="16"/>
        </w:rPr>
        <w:t>HvJ</w:t>
      </w:r>
      <w:proofErr w:type="spellEnd"/>
      <w:r w:rsidRPr="00B908F7">
        <w:rPr>
          <w:sz w:val="16"/>
          <w:szCs w:val="16"/>
        </w:rPr>
        <w:t xml:space="preserve"> 15 juni 2000, C-418/97 en C-419/97, ECLI:EU:C:2000:318, </w:t>
      </w:r>
      <w:proofErr w:type="spellStart"/>
      <w:r w:rsidRPr="00B908F7">
        <w:rPr>
          <w:sz w:val="16"/>
          <w:szCs w:val="16"/>
        </w:rPr>
        <w:t>ovw</w:t>
      </w:r>
      <w:proofErr w:type="spellEnd"/>
      <w:r w:rsidRPr="00B908F7">
        <w:rPr>
          <w:sz w:val="16"/>
          <w:szCs w:val="16"/>
        </w:rPr>
        <w:t xml:space="preserve"> 73, 88 en 97), het arrest</w:t>
      </w:r>
      <w:r w:rsidRPr="00B908F7">
        <w:rPr>
          <w:b/>
          <w:bCs/>
          <w:sz w:val="16"/>
          <w:szCs w:val="16"/>
        </w:rPr>
        <w:t xml:space="preserve"> Shell</w:t>
      </w:r>
      <w:r w:rsidRPr="00B908F7">
        <w:rPr>
          <w:sz w:val="16"/>
          <w:szCs w:val="16"/>
        </w:rPr>
        <w:t xml:space="preserve"> (</w:t>
      </w:r>
      <w:proofErr w:type="spellStart"/>
      <w:r w:rsidRPr="00B908F7">
        <w:rPr>
          <w:sz w:val="16"/>
          <w:szCs w:val="16"/>
        </w:rPr>
        <w:t>HvJ</w:t>
      </w:r>
      <w:proofErr w:type="spellEnd"/>
      <w:r w:rsidRPr="00B908F7">
        <w:rPr>
          <w:sz w:val="16"/>
          <w:szCs w:val="16"/>
        </w:rPr>
        <w:t xml:space="preserve"> 12 december 2013, C-241/12 en C-242/12, ECLI:EU:C:2013:821, </w:t>
      </w:r>
      <w:proofErr w:type="spellStart"/>
      <w:r w:rsidRPr="00B908F7">
        <w:rPr>
          <w:sz w:val="16"/>
          <w:szCs w:val="16"/>
        </w:rPr>
        <w:t>ovw</w:t>
      </w:r>
      <w:proofErr w:type="spellEnd"/>
      <w:r w:rsidRPr="00B908F7">
        <w:rPr>
          <w:sz w:val="16"/>
          <w:szCs w:val="16"/>
        </w:rPr>
        <w:t xml:space="preserve"> 40 en 41), </w:t>
      </w:r>
      <w:r w:rsidR="004C423B" w:rsidRPr="00B908F7">
        <w:rPr>
          <w:sz w:val="16"/>
          <w:szCs w:val="16"/>
        </w:rPr>
        <w:t>het arrest</w:t>
      </w:r>
      <w:r w:rsidR="004C423B" w:rsidRPr="00B908F7">
        <w:rPr>
          <w:b/>
          <w:bCs/>
          <w:sz w:val="16"/>
          <w:szCs w:val="16"/>
        </w:rPr>
        <w:t xml:space="preserve"> TPS NOLO</w:t>
      </w:r>
      <w:r w:rsidR="004C423B" w:rsidRPr="00B908F7">
        <w:rPr>
          <w:sz w:val="16"/>
          <w:szCs w:val="16"/>
        </w:rPr>
        <w:t xml:space="preserve"> (</w:t>
      </w:r>
      <w:proofErr w:type="spellStart"/>
      <w:r w:rsidR="004C423B" w:rsidRPr="00B908F7">
        <w:rPr>
          <w:sz w:val="16"/>
          <w:szCs w:val="16"/>
        </w:rPr>
        <w:t>Geobal</w:t>
      </w:r>
      <w:proofErr w:type="spellEnd"/>
      <w:r w:rsidR="004C423B" w:rsidRPr="00B908F7">
        <w:rPr>
          <w:sz w:val="16"/>
          <w:szCs w:val="16"/>
        </w:rPr>
        <w:t>) (</w:t>
      </w:r>
      <w:proofErr w:type="spellStart"/>
      <w:r w:rsidR="004C423B" w:rsidRPr="00B908F7">
        <w:rPr>
          <w:sz w:val="16"/>
          <w:szCs w:val="16"/>
        </w:rPr>
        <w:t>HvJ</w:t>
      </w:r>
      <w:proofErr w:type="spellEnd"/>
      <w:r w:rsidR="004C423B" w:rsidRPr="00B908F7">
        <w:rPr>
          <w:sz w:val="16"/>
          <w:szCs w:val="16"/>
        </w:rPr>
        <w:t xml:space="preserve"> 14 maart 2019, C399/17, ECLI:EU:C:2019:200, </w:t>
      </w:r>
      <w:proofErr w:type="spellStart"/>
      <w:r w:rsidR="004C423B" w:rsidRPr="00B908F7">
        <w:rPr>
          <w:sz w:val="16"/>
          <w:szCs w:val="16"/>
        </w:rPr>
        <w:t>owv</w:t>
      </w:r>
      <w:proofErr w:type="spellEnd"/>
      <w:r w:rsidR="004C423B" w:rsidRPr="00B908F7">
        <w:rPr>
          <w:sz w:val="16"/>
          <w:szCs w:val="16"/>
        </w:rPr>
        <w:t xml:space="preserve"> 32, 60 en 70)</w:t>
      </w:r>
      <w:r w:rsidR="004C423B">
        <w:rPr>
          <w:sz w:val="16"/>
          <w:szCs w:val="16"/>
        </w:rPr>
        <w:t xml:space="preserve">, </w:t>
      </w:r>
      <w:r w:rsidRPr="00B908F7">
        <w:rPr>
          <w:sz w:val="16"/>
          <w:szCs w:val="16"/>
        </w:rPr>
        <w:t>het arrest</w:t>
      </w:r>
      <w:r w:rsidRPr="00B908F7">
        <w:rPr>
          <w:b/>
          <w:bCs/>
          <w:sz w:val="16"/>
          <w:szCs w:val="16"/>
        </w:rPr>
        <w:t xml:space="preserve"> </w:t>
      </w:r>
      <w:proofErr w:type="spellStart"/>
      <w:r w:rsidRPr="00B908F7">
        <w:rPr>
          <w:b/>
          <w:bCs/>
          <w:sz w:val="16"/>
          <w:szCs w:val="16"/>
        </w:rPr>
        <w:t>Tronex</w:t>
      </w:r>
      <w:proofErr w:type="spellEnd"/>
      <w:r w:rsidRPr="00B908F7">
        <w:rPr>
          <w:sz w:val="16"/>
          <w:szCs w:val="16"/>
        </w:rPr>
        <w:t xml:space="preserve"> (</w:t>
      </w:r>
      <w:proofErr w:type="spellStart"/>
      <w:r w:rsidRPr="00B908F7">
        <w:rPr>
          <w:sz w:val="16"/>
          <w:szCs w:val="16"/>
        </w:rPr>
        <w:t>HvJ</w:t>
      </w:r>
      <w:proofErr w:type="spellEnd"/>
      <w:r w:rsidRPr="00B908F7">
        <w:rPr>
          <w:sz w:val="16"/>
          <w:szCs w:val="16"/>
        </w:rPr>
        <w:t xml:space="preserve"> 4 juli 2019, C-624/17, ECLI:EU:C:2019:150,</w:t>
      </w:r>
      <w:r w:rsidRPr="00B908F7">
        <w:t xml:space="preserve"> </w:t>
      </w:r>
      <w:proofErr w:type="spellStart"/>
      <w:r w:rsidRPr="00B908F7">
        <w:rPr>
          <w:sz w:val="16"/>
          <w:szCs w:val="16"/>
        </w:rPr>
        <w:t>ovw</w:t>
      </w:r>
      <w:proofErr w:type="spellEnd"/>
      <w:r w:rsidRPr="00B908F7">
        <w:rPr>
          <w:sz w:val="16"/>
          <w:szCs w:val="16"/>
        </w:rPr>
        <w:t xml:space="preserve"> 20, 21 en 25), en het arrest</w:t>
      </w:r>
      <w:r w:rsidR="005C2AAD" w:rsidRPr="00B908F7">
        <w:rPr>
          <w:sz w:val="16"/>
          <w:szCs w:val="16"/>
        </w:rPr>
        <w:t xml:space="preserve"> </w:t>
      </w:r>
      <w:proofErr w:type="spellStart"/>
      <w:r w:rsidR="005C2AAD" w:rsidRPr="00B908F7">
        <w:rPr>
          <w:b/>
          <w:bCs/>
          <w:sz w:val="16"/>
          <w:szCs w:val="16"/>
        </w:rPr>
        <w:t>Porr-Bau</w:t>
      </w:r>
      <w:proofErr w:type="spellEnd"/>
      <w:r w:rsidR="005C2AAD" w:rsidRPr="00B908F7">
        <w:rPr>
          <w:b/>
          <w:bCs/>
          <w:sz w:val="16"/>
          <w:szCs w:val="16"/>
        </w:rPr>
        <w:t xml:space="preserve"> </w:t>
      </w:r>
      <w:r w:rsidR="005C2AAD" w:rsidRPr="00B908F7">
        <w:rPr>
          <w:sz w:val="16"/>
          <w:szCs w:val="16"/>
        </w:rPr>
        <w:t>(</w:t>
      </w:r>
      <w:proofErr w:type="spellStart"/>
      <w:r w:rsidR="005C2AAD" w:rsidRPr="00B908F7">
        <w:rPr>
          <w:sz w:val="16"/>
          <w:szCs w:val="16"/>
        </w:rPr>
        <w:t>HvJ</w:t>
      </w:r>
      <w:proofErr w:type="spellEnd"/>
      <w:r w:rsidR="005C2AAD" w:rsidRPr="00B908F7">
        <w:rPr>
          <w:sz w:val="16"/>
          <w:szCs w:val="16"/>
        </w:rPr>
        <w:t xml:space="preserve"> 17 november 2022, C-238/21</w:t>
      </w:r>
      <w:r w:rsidRPr="00B908F7">
        <w:rPr>
          <w:sz w:val="16"/>
          <w:szCs w:val="16"/>
        </w:rPr>
        <w:t xml:space="preserve">, </w:t>
      </w:r>
      <w:proofErr w:type="spellStart"/>
      <w:r w:rsidRPr="00B908F7">
        <w:rPr>
          <w:sz w:val="16"/>
          <w:szCs w:val="16"/>
        </w:rPr>
        <w:t>ovw</w:t>
      </w:r>
      <w:proofErr w:type="spellEnd"/>
      <w:r w:rsidRPr="00B908F7">
        <w:rPr>
          <w:sz w:val="16"/>
          <w:szCs w:val="16"/>
        </w:rPr>
        <w:t xml:space="preserve"> 35</w:t>
      </w:r>
      <w:r w:rsidR="005C2AAD" w:rsidRPr="00B908F7">
        <w:rPr>
          <w:sz w:val="16"/>
          <w:szCs w:val="16"/>
        </w:rPr>
        <w:t>)</w:t>
      </w:r>
      <w:r w:rsidRPr="00B908F7">
        <w:rPr>
          <w:sz w:val="16"/>
          <w:szCs w:val="16"/>
        </w:rPr>
        <w:t>.</w:t>
      </w:r>
    </w:p>
    <w:p w14:paraId="4CABAEC4" w14:textId="77777777" w:rsidR="00BF24B5" w:rsidRPr="00970C1D" w:rsidRDefault="00BF24B5" w:rsidP="00C011BD"/>
    <w:p w14:paraId="6E7AE134" w14:textId="0C9D990E" w:rsidR="002C278B" w:rsidRPr="00D33FA5" w:rsidRDefault="002C278B" w:rsidP="00C011BD">
      <w:pPr>
        <w:rPr>
          <w:b/>
          <w:bCs/>
        </w:rPr>
      </w:pPr>
      <w:r w:rsidRPr="00D33FA5">
        <w:rPr>
          <w:b/>
          <w:bCs/>
        </w:rPr>
        <w:t>Wanneer is er sprake van hetzelfde geval, of is er sprake van een nieuw geval?</w:t>
      </w:r>
    </w:p>
    <w:p w14:paraId="0AD2DF1C" w14:textId="28F5C742" w:rsidR="002C278B" w:rsidRPr="00D33FA5" w:rsidRDefault="002C278B" w:rsidP="00C011BD">
      <w:r w:rsidRPr="00D33FA5">
        <w:t xml:space="preserve">Voor de beoordeling of er sprake is van hetzelfde geval, of een nieuw geval moet er voor de beoordeling of er sprake is van een afvalstof of niet-afvalstof </w:t>
      </w:r>
      <w:r w:rsidR="00F211FF" w:rsidRPr="00D33FA5">
        <w:t xml:space="preserve">cumulatief </w:t>
      </w:r>
      <w:r w:rsidRPr="00D33FA5">
        <w:t>worden gekeken naar de volgende feiten en omstandigheden:</w:t>
      </w:r>
    </w:p>
    <w:p w14:paraId="7A53E069" w14:textId="77777777" w:rsidR="002C278B" w:rsidRPr="00D33FA5" w:rsidRDefault="002C278B" w:rsidP="00C011BD"/>
    <w:p w14:paraId="4CF8BEC2" w14:textId="21F1B189" w:rsidR="002C278B" w:rsidRPr="00D33FA5" w:rsidRDefault="002C278B" w:rsidP="00F211FF">
      <w:pPr>
        <w:pStyle w:val="Lijstalinea"/>
        <w:numPr>
          <w:ilvl w:val="0"/>
          <w:numId w:val="33"/>
        </w:numPr>
      </w:pPr>
      <w:r w:rsidRPr="00D33FA5">
        <w:t>Herkomst</w:t>
      </w:r>
      <w:r w:rsidR="00FA5288">
        <w:t xml:space="preserve"> en ingangsmateriaal</w:t>
      </w:r>
    </w:p>
    <w:p w14:paraId="01536989" w14:textId="3CF0C748" w:rsidR="00CE1544" w:rsidRPr="00D33FA5" w:rsidRDefault="00CE1544" w:rsidP="00F211FF">
      <w:pPr>
        <w:pStyle w:val="Lijstalinea"/>
        <w:numPr>
          <w:ilvl w:val="0"/>
          <w:numId w:val="33"/>
        </w:numPr>
      </w:pPr>
      <w:r w:rsidRPr="00D33FA5">
        <w:t>Verwerking</w:t>
      </w:r>
    </w:p>
    <w:p w14:paraId="0C2DF96F" w14:textId="478FDFE6" w:rsidR="002C278B" w:rsidRPr="00D33FA5" w:rsidRDefault="002C278B" w:rsidP="00F211FF">
      <w:pPr>
        <w:pStyle w:val="Lijstalinea"/>
        <w:numPr>
          <w:ilvl w:val="0"/>
          <w:numId w:val="33"/>
        </w:numPr>
      </w:pPr>
      <w:r w:rsidRPr="00D33FA5">
        <w:t>Aard en eigenschappen</w:t>
      </w:r>
    </w:p>
    <w:p w14:paraId="3B0E60DA" w14:textId="4F4C763D" w:rsidR="00B830C6" w:rsidRPr="00D33FA5" w:rsidRDefault="00B830C6" w:rsidP="00F211FF">
      <w:pPr>
        <w:pStyle w:val="Lijstalinea"/>
        <w:numPr>
          <w:ilvl w:val="0"/>
          <w:numId w:val="33"/>
        </w:numPr>
      </w:pPr>
      <w:r w:rsidRPr="00D33FA5">
        <w:t>Samenstelling</w:t>
      </w:r>
    </w:p>
    <w:p w14:paraId="09F0729C" w14:textId="5525B76E" w:rsidR="002C278B" w:rsidRPr="00D33FA5" w:rsidRDefault="002C278B" w:rsidP="00F211FF">
      <w:pPr>
        <w:pStyle w:val="Lijstalinea"/>
        <w:numPr>
          <w:ilvl w:val="0"/>
          <w:numId w:val="33"/>
        </w:numPr>
      </w:pPr>
      <w:r w:rsidRPr="00D33FA5">
        <w:t>Toepassing</w:t>
      </w:r>
    </w:p>
    <w:p w14:paraId="0CBE67EA" w14:textId="641C5037" w:rsidR="002C278B" w:rsidRPr="00D33FA5" w:rsidRDefault="002C278B" w:rsidP="00F211FF">
      <w:pPr>
        <w:pStyle w:val="Lijstalinea"/>
        <w:numPr>
          <w:ilvl w:val="0"/>
          <w:numId w:val="33"/>
        </w:numPr>
      </w:pPr>
      <w:bookmarkStart w:id="1" w:name="_Hlk188862883"/>
      <w:r w:rsidRPr="00D33FA5">
        <w:t>Moment van toetsen in de keten</w:t>
      </w:r>
    </w:p>
    <w:p w14:paraId="3DD23F0D" w14:textId="53B6218A" w:rsidR="005954B9" w:rsidRPr="00D33FA5" w:rsidRDefault="00A80882" w:rsidP="00F211FF">
      <w:pPr>
        <w:pStyle w:val="Lijstalinea"/>
        <w:numPr>
          <w:ilvl w:val="0"/>
          <w:numId w:val="33"/>
        </w:numPr>
      </w:pPr>
      <w:r w:rsidRPr="00D33FA5">
        <w:t>Gewijzigde wetgeving</w:t>
      </w:r>
      <w:r w:rsidR="00DD0BF5">
        <w:t>,</w:t>
      </w:r>
      <w:r w:rsidR="005954B9" w:rsidRPr="00D33FA5">
        <w:t xml:space="preserve"> beleid</w:t>
      </w:r>
      <w:r w:rsidR="00DD0BF5">
        <w:t xml:space="preserve"> en private normen</w:t>
      </w:r>
      <w:r w:rsidR="005954B9" w:rsidRPr="00D33FA5">
        <w:t xml:space="preserve"> </w:t>
      </w:r>
    </w:p>
    <w:p w14:paraId="499E0D1A" w14:textId="46A8DC4C" w:rsidR="00A80882" w:rsidRPr="00D33FA5" w:rsidRDefault="005954B9" w:rsidP="00F211FF">
      <w:pPr>
        <w:pStyle w:val="Lijstalinea"/>
        <w:numPr>
          <w:ilvl w:val="0"/>
          <w:numId w:val="33"/>
        </w:numPr>
      </w:pPr>
      <w:r w:rsidRPr="00D33FA5">
        <w:t>G</w:t>
      </w:r>
      <w:r w:rsidR="00A80882" w:rsidRPr="00D33FA5">
        <w:t>ewijzigde wetenschappelijke inzichten</w:t>
      </w:r>
    </w:p>
    <w:p w14:paraId="77188232" w14:textId="481683A1" w:rsidR="00E239C4" w:rsidRPr="00D33FA5" w:rsidRDefault="00E239C4" w:rsidP="00F211FF">
      <w:pPr>
        <w:pStyle w:val="Lijstalinea"/>
        <w:numPr>
          <w:ilvl w:val="0"/>
          <w:numId w:val="33"/>
        </w:numPr>
      </w:pPr>
      <w:r w:rsidRPr="00D33FA5">
        <w:t>Gewijzigde marktomstandigheden</w:t>
      </w:r>
    </w:p>
    <w:bookmarkEnd w:id="1"/>
    <w:p w14:paraId="4802AD00" w14:textId="77777777" w:rsidR="002C278B" w:rsidRDefault="002C278B" w:rsidP="002C278B"/>
    <w:p w14:paraId="4AF0451E" w14:textId="03354918" w:rsidR="002C278B" w:rsidRPr="002949D3" w:rsidRDefault="002C278B" w:rsidP="002949D3">
      <w:pPr>
        <w:pStyle w:val="Lijstalinea"/>
        <w:numPr>
          <w:ilvl w:val="0"/>
          <w:numId w:val="38"/>
        </w:numPr>
        <w:rPr>
          <w:u w:val="single"/>
        </w:rPr>
      </w:pPr>
      <w:r w:rsidRPr="002949D3">
        <w:rPr>
          <w:u w:val="single"/>
        </w:rPr>
        <w:t>Herkomst</w:t>
      </w:r>
      <w:r w:rsidR="009E0E89" w:rsidRPr="002949D3">
        <w:rPr>
          <w:u w:val="single"/>
        </w:rPr>
        <w:t xml:space="preserve"> en ingangsmateriaal</w:t>
      </w:r>
    </w:p>
    <w:p w14:paraId="6ABC267C" w14:textId="650A401C" w:rsidR="009E0E89" w:rsidRDefault="00417E4C" w:rsidP="009E0E89">
      <w:r w:rsidRPr="00D33FA5">
        <w:t>De herkomst beschrijft de oorsprong</w:t>
      </w:r>
      <w:r w:rsidR="009E0E89">
        <w:t>: D</w:t>
      </w:r>
      <w:r w:rsidRPr="00D33FA5">
        <w:t>aar waar het materiaal is ontstaan. Het herkomstmateriaal kan verschillen van het ingangsmateriaal omdat er verschillende processen (zoals mengen) tussen kunnen zitten die het herkomstmateriaal veranderen voordat het wordt ingezet als ingangsmateriaal in een verwerkingsproces.</w:t>
      </w:r>
      <w:r w:rsidR="009E0E89">
        <w:t xml:space="preserve"> Ingangsmateriaal is m</w:t>
      </w:r>
      <w:r w:rsidR="009E0E89" w:rsidRPr="00417E4C">
        <w:t>ateriaal dat wordt ingezet in een specifiek proces aan de start van een productieketen of verwerkingsproces.</w:t>
      </w:r>
    </w:p>
    <w:p w14:paraId="514446C5" w14:textId="77777777" w:rsidR="00417E4C" w:rsidRPr="00D33FA5" w:rsidRDefault="00417E4C" w:rsidP="002C278B"/>
    <w:p w14:paraId="07CF96D0" w14:textId="7B2EDF96" w:rsidR="002C278B" w:rsidRPr="00D33FA5" w:rsidRDefault="002C278B" w:rsidP="00F211FF">
      <w:pPr>
        <w:pStyle w:val="Lijstalinea"/>
        <w:numPr>
          <w:ilvl w:val="0"/>
          <w:numId w:val="34"/>
        </w:numPr>
      </w:pPr>
      <w:bookmarkStart w:id="2" w:name="_Hlk189046360"/>
      <w:r w:rsidRPr="00D33FA5">
        <w:t xml:space="preserve">Is </w:t>
      </w:r>
      <w:r w:rsidR="009E0E89">
        <w:t>het</w:t>
      </w:r>
      <w:r w:rsidRPr="00D33FA5">
        <w:t xml:space="preserve"> </w:t>
      </w:r>
      <w:r w:rsidR="001E22CE" w:rsidRPr="00D33FA5">
        <w:t>herkomst</w:t>
      </w:r>
      <w:r w:rsidR="009E0E89">
        <w:t>materiaal</w:t>
      </w:r>
      <w:r w:rsidRPr="00D33FA5">
        <w:t xml:space="preserve"> </w:t>
      </w:r>
      <w:r w:rsidR="009E0E89">
        <w:t xml:space="preserve">en/of het ingangsmateriaal </w:t>
      </w:r>
      <w:r w:rsidRPr="00D33FA5">
        <w:t xml:space="preserve">verschillend? Dan is er sprake van een nieuw geval dat apart zal moeten worden beoordeeld. </w:t>
      </w:r>
    </w:p>
    <w:p w14:paraId="59D7F9C9" w14:textId="0793F27B" w:rsidR="00F211FF" w:rsidRPr="00D33FA5" w:rsidRDefault="00F211FF" w:rsidP="00F211FF">
      <w:pPr>
        <w:pStyle w:val="Lijstalinea"/>
        <w:numPr>
          <w:ilvl w:val="0"/>
          <w:numId w:val="34"/>
        </w:numPr>
      </w:pPr>
      <w:r w:rsidRPr="00D33FA5">
        <w:t xml:space="preserve">Is </w:t>
      </w:r>
      <w:r w:rsidR="009E0E89" w:rsidRPr="009E0E89">
        <w:t xml:space="preserve">het herkomstmateriaal en het ingangsmateriaal </w:t>
      </w:r>
      <w:r w:rsidRPr="00D33FA5">
        <w:t>gelijk? Dan is er mogelijk sprake van hetzelfde geval, als ook aan de andere feiten en omstandigheden wordt voldaan.</w:t>
      </w:r>
    </w:p>
    <w:p w14:paraId="72323CF6" w14:textId="77777777" w:rsidR="003F4601" w:rsidRDefault="003F4601" w:rsidP="003F4601"/>
    <w:p w14:paraId="302A0C8D" w14:textId="337F9C9D" w:rsidR="003F4601" w:rsidRPr="004C423B" w:rsidRDefault="004C423B" w:rsidP="003F4601">
      <w:pPr>
        <w:rPr>
          <w:sz w:val="16"/>
          <w:szCs w:val="16"/>
        </w:rPr>
      </w:pPr>
      <w:r w:rsidRPr="004C423B">
        <w:rPr>
          <w:sz w:val="16"/>
          <w:szCs w:val="16"/>
        </w:rPr>
        <w:t>Dat de herkomst van belang is bij de ‘per geval’-beoordeling afvalstof of niet-afvalstof volgt onder andere uit de volgende jurisprudentie: het arrest</w:t>
      </w:r>
      <w:r w:rsidRPr="004C423B">
        <w:rPr>
          <w:b/>
          <w:bCs/>
          <w:sz w:val="16"/>
          <w:szCs w:val="16"/>
        </w:rPr>
        <w:t xml:space="preserve"> </w:t>
      </w:r>
      <w:proofErr w:type="spellStart"/>
      <w:r w:rsidRPr="004C423B">
        <w:rPr>
          <w:b/>
          <w:bCs/>
          <w:sz w:val="16"/>
          <w:szCs w:val="16"/>
        </w:rPr>
        <w:t>Inter-Environnement</w:t>
      </w:r>
      <w:proofErr w:type="spellEnd"/>
      <w:r w:rsidRPr="004C423B">
        <w:rPr>
          <w:b/>
          <w:bCs/>
          <w:sz w:val="16"/>
          <w:szCs w:val="16"/>
        </w:rPr>
        <w:t xml:space="preserve"> </w:t>
      </w:r>
      <w:proofErr w:type="spellStart"/>
      <w:r w:rsidRPr="004C423B">
        <w:rPr>
          <w:b/>
          <w:bCs/>
          <w:sz w:val="16"/>
          <w:szCs w:val="16"/>
        </w:rPr>
        <w:t>Wallonie</w:t>
      </w:r>
      <w:proofErr w:type="spellEnd"/>
      <w:r w:rsidRPr="004C423B">
        <w:rPr>
          <w:sz w:val="16"/>
          <w:szCs w:val="16"/>
        </w:rPr>
        <w:t xml:space="preserve"> (</w:t>
      </w:r>
      <w:proofErr w:type="spellStart"/>
      <w:r w:rsidRPr="004C423B">
        <w:rPr>
          <w:sz w:val="16"/>
          <w:szCs w:val="16"/>
        </w:rPr>
        <w:t>HvJ</w:t>
      </w:r>
      <w:proofErr w:type="spellEnd"/>
      <w:r w:rsidRPr="004C423B">
        <w:rPr>
          <w:sz w:val="16"/>
          <w:szCs w:val="16"/>
        </w:rPr>
        <w:t xml:space="preserve"> 18 december 1997, C-129/96, ECLI:EU:C:1997:628, </w:t>
      </w:r>
      <w:proofErr w:type="spellStart"/>
      <w:r w:rsidRPr="004C423B">
        <w:rPr>
          <w:sz w:val="16"/>
          <w:szCs w:val="16"/>
        </w:rPr>
        <w:t>ovw</w:t>
      </w:r>
      <w:proofErr w:type="spellEnd"/>
      <w:r w:rsidRPr="004C423B">
        <w:rPr>
          <w:sz w:val="16"/>
          <w:szCs w:val="16"/>
        </w:rPr>
        <w:t xml:space="preserve"> 28 en 29)</w:t>
      </w:r>
      <w:r>
        <w:rPr>
          <w:sz w:val="16"/>
          <w:szCs w:val="16"/>
        </w:rPr>
        <w:t>,</w:t>
      </w:r>
      <w:r w:rsidRPr="004C423B">
        <w:rPr>
          <w:sz w:val="16"/>
          <w:szCs w:val="16"/>
        </w:rPr>
        <w:t xml:space="preserve"> het arrest </w:t>
      </w:r>
      <w:proofErr w:type="spellStart"/>
      <w:r w:rsidRPr="00814E46">
        <w:rPr>
          <w:b/>
          <w:bCs/>
          <w:sz w:val="16"/>
          <w:szCs w:val="16"/>
        </w:rPr>
        <w:t>Palin</w:t>
      </w:r>
      <w:proofErr w:type="spellEnd"/>
      <w:r w:rsidRPr="00814E46">
        <w:rPr>
          <w:b/>
          <w:bCs/>
          <w:sz w:val="16"/>
          <w:szCs w:val="16"/>
        </w:rPr>
        <w:t xml:space="preserve"> </w:t>
      </w:r>
      <w:proofErr w:type="spellStart"/>
      <w:r w:rsidRPr="00814E46">
        <w:rPr>
          <w:b/>
          <w:bCs/>
          <w:sz w:val="16"/>
          <w:szCs w:val="16"/>
        </w:rPr>
        <w:t>Granit</w:t>
      </w:r>
      <w:proofErr w:type="spellEnd"/>
      <w:r w:rsidRPr="004C423B">
        <w:rPr>
          <w:sz w:val="16"/>
          <w:szCs w:val="16"/>
        </w:rPr>
        <w:t xml:space="preserve"> (</w:t>
      </w:r>
      <w:proofErr w:type="spellStart"/>
      <w:r w:rsidRPr="004C423B">
        <w:rPr>
          <w:sz w:val="16"/>
          <w:szCs w:val="16"/>
        </w:rPr>
        <w:t>HvJ</w:t>
      </w:r>
      <w:proofErr w:type="spellEnd"/>
      <w:r w:rsidRPr="004C423B">
        <w:rPr>
          <w:sz w:val="16"/>
          <w:szCs w:val="16"/>
        </w:rPr>
        <w:t xml:space="preserve"> 18 april 2002, C-9/00, ECLI:EU:C:2002:232, </w:t>
      </w:r>
      <w:proofErr w:type="spellStart"/>
      <w:r w:rsidRPr="004C423B">
        <w:rPr>
          <w:sz w:val="16"/>
          <w:szCs w:val="16"/>
        </w:rPr>
        <w:t>ovw</w:t>
      </w:r>
      <w:proofErr w:type="spellEnd"/>
      <w:r w:rsidRPr="004C423B">
        <w:rPr>
          <w:sz w:val="16"/>
          <w:szCs w:val="16"/>
        </w:rPr>
        <w:t xml:space="preserve"> 32 en 33),</w:t>
      </w:r>
      <w:r>
        <w:rPr>
          <w:sz w:val="16"/>
          <w:szCs w:val="16"/>
        </w:rPr>
        <w:t xml:space="preserve"> </w:t>
      </w:r>
      <w:r w:rsidRPr="004C423B">
        <w:rPr>
          <w:sz w:val="16"/>
          <w:szCs w:val="16"/>
        </w:rPr>
        <w:t>het arrest</w:t>
      </w:r>
      <w:r w:rsidRPr="004C423B">
        <w:rPr>
          <w:b/>
          <w:bCs/>
          <w:sz w:val="16"/>
          <w:szCs w:val="16"/>
        </w:rPr>
        <w:t xml:space="preserve"> </w:t>
      </w:r>
      <w:proofErr w:type="spellStart"/>
      <w:r w:rsidRPr="004C423B">
        <w:rPr>
          <w:b/>
          <w:bCs/>
          <w:sz w:val="16"/>
          <w:szCs w:val="16"/>
        </w:rPr>
        <w:t>Niselli</w:t>
      </w:r>
      <w:proofErr w:type="spellEnd"/>
      <w:r w:rsidRPr="004C423B">
        <w:rPr>
          <w:sz w:val="16"/>
          <w:szCs w:val="16"/>
        </w:rPr>
        <w:t xml:space="preserve"> (</w:t>
      </w:r>
      <w:proofErr w:type="spellStart"/>
      <w:r w:rsidRPr="004C423B">
        <w:rPr>
          <w:sz w:val="16"/>
          <w:szCs w:val="16"/>
        </w:rPr>
        <w:t>HvJ</w:t>
      </w:r>
      <w:proofErr w:type="spellEnd"/>
      <w:r w:rsidRPr="004C423B">
        <w:rPr>
          <w:sz w:val="16"/>
          <w:szCs w:val="16"/>
        </w:rPr>
        <w:t xml:space="preserve"> 11 november 2004, C-457/02, ECLI:EU:C:2004:707, </w:t>
      </w:r>
      <w:proofErr w:type="spellStart"/>
      <w:r w:rsidRPr="004C423B">
        <w:rPr>
          <w:sz w:val="16"/>
          <w:szCs w:val="16"/>
        </w:rPr>
        <w:t>ovw</w:t>
      </w:r>
      <w:proofErr w:type="spellEnd"/>
      <w:r w:rsidRPr="004C423B">
        <w:rPr>
          <w:sz w:val="16"/>
          <w:szCs w:val="16"/>
        </w:rPr>
        <w:t xml:space="preserve"> 21, 43-45, 47), het arrest </w:t>
      </w:r>
      <w:r w:rsidRPr="00814E46">
        <w:rPr>
          <w:b/>
          <w:bCs/>
          <w:sz w:val="16"/>
          <w:szCs w:val="16"/>
        </w:rPr>
        <w:t xml:space="preserve">Commune de </w:t>
      </w:r>
      <w:proofErr w:type="spellStart"/>
      <w:r w:rsidRPr="00814E46">
        <w:rPr>
          <w:b/>
          <w:bCs/>
          <w:sz w:val="16"/>
          <w:szCs w:val="16"/>
        </w:rPr>
        <w:t>Mesquer</w:t>
      </w:r>
      <w:proofErr w:type="spellEnd"/>
      <w:r w:rsidRPr="004C423B">
        <w:rPr>
          <w:sz w:val="16"/>
          <w:szCs w:val="16"/>
        </w:rPr>
        <w:t xml:space="preserve"> (</w:t>
      </w:r>
      <w:proofErr w:type="spellStart"/>
      <w:r w:rsidRPr="004C423B">
        <w:rPr>
          <w:sz w:val="16"/>
          <w:szCs w:val="16"/>
        </w:rPr>
        <w:t>HvJ</w:t>
      </w:r>
      <w:proofErr w:type="spellEnd"/>
      <w:r w:rsidRPr="004C423B">
        <w:rPr>
          <w:sz w:val="16"/>
          <w:szCs w:val="16"/>
        </w:rPr>
        <w:t xml:space="preserve"> 24 juni 2008, C-188/07, ECLI:EU:C:2008:359, </w:t>
      </w:r>
      <w:proofErr w:type="spellStart"/>
      <w:r w:rsidRPr="004C423B">
        <w:rPr>
          <w:sz w:val="16"/>
          <w:szCs w:val="16"/>
        </w:rPr>
        <w:t>ovw</w:t>
      </w:r>
      <w:proofErr w:type="spellEnd"/>
      <w:r w:rsidRPr="004C423B">
        <w:rPr>
          <w:sz w:val="16"/>
          <w:szCs w:val="16"/>
        </w:rPr>
        <w:t xml:space="preserve"> 41)</w:t>
      </w:r>
      <w:r w:rsidR="00E93FF7">
        <w:rPr>
          <w:sz w:val="16"/>
          <w:szCs w:val="16"/>
        </w:rPr>
        <w:t>,</w:t>
      </w:r>
      <w:r w:rsidRPr="004C423B">
        <w:rPr>
          <w:sz w:val="16"/>
          <w:szCs w:val="16"/>
        </w:rPr>
        <w:t xml:space="preserve"> het arrest</w:t>
      </w:r>
      <w:r w:rsidRPr="004C423B">
        <w:rPr>
          <w:b/>
          <w:bCs/>
          <w:sz w:val="16"/>
          <w:szCs w:val="16"/>
        </w:rPr>
        <w:t xml:space="preserve"> TPS NOLO</w:t>
      </w:r>
      <w:r w:rsidRPr="004C423B">
        <w:rPr>
          <w:sz w:val="16"/>
          <w:szCs w:val="16"/>
        </w:rPr>
        <w:t xml:space="preserve"> (</w:t>
      </w:r>
      <w:proofErr w:type="spellStart"/>
      <w:r w:rsidRPr="004C423B">
        <w:rPr>
          <w:sz w:val="16"/>
          <w:szCs w:val="16"/>
        </w:rPr>
        <w:t>Geobal</w:t>
      </w:r>
      <w:proofErr w:type="spellEnd"/>
      <w:r w:rsidRPr="004C423B">
        <w:rPr>
          <w:sz w:val="16"/>
          <w:szCs w:val="16"/>
        </w:rPr>
        <w:t>) (</w:t>
      </w:r>
      <w:proofErr w:type="spellStart"/>
      <w:r w:rsidRPr="004C423B">
        <w:rPr>
          <w:sz w:val="16"/>
          <w:szCs w:val="16"/>
        </w:rPr>
        <w:t>HvJ</w:t>
      </w:r>
      <w:proofErr w:type="spellEnd"/>
      <w:r w:rsidRPr="004C423B">
        <w:rPr>
          <w:sz w:val="16"/>
          <w:szCs w:val="16"/>
        </w:rPr>
        <w:t xml:space="preserve"> 14 maart 2019, C399/17, ECLI:EU:C:2019:200, </w:t>
      </w:r>
      <w:proofErr w:type="spellStart"/>
      <w:r w:rsidRPr="004C423B">
        <w:rPr>
          <w:sz w:val="16"/>
          <w:szCs w:val="16"/>
        </w:rPr>
        <w:t>ovw</w:t>
      </w:r>
      <w:proofErr w:type="spellEnd"/>
      <w:r w:rsidRPr="004C423B">
        <w:rPr>
          <w:sz w:val="16"/>
          <w:szCs w:val="16"/>
        </w:rPr>
        <w:t xml:space="preserve"> 62-64)</w:t>
      </w:r>
      <w:r w:rsidR="00E93FF7">
        <w:rPr>
          <w:sz w:val="16"/>
          <w:szCs w:val="16"/>
        </w:rPr>
        <w:t xml:space="preserve"> en het arrest </w:t>
      </w:r>
      <w:r w:rsidR="00E93FF7" w:rsidRPr="00814E46">
        <w:rPr>
          <w:b/>
          <w:bCs/>
          <w:sz w:val="16"/>
          <w:szCs w:val="16"/>
        </w:rPr>
        <w:t>PVC Recycling II</w:t>
      </w:r>
      <w:r w:rsidR="00E93FF7">
        <w:rPr>
          <w:sz w:val="16"/>
          <w:szCs w:val="16"/>
        </w:rPr>
        <w:t xml:space="preserve"> (</w:t>
      </w:r>
      <w:proofErr w:type="spellStart"/>
      <w:r w:rsidR="00E93FF7" w:rsidRPr="00E93FF7">
        <w:rPr>
          <w:sz w:val="16"/>
          <w:szCs w:val="16"/>
        </w:rPr>
        <w:t>ABRvS</w:t>
      </w:r>
      <w:proofErr w:type="spellEnd"/>
      <w:r w:rsidR="00E93FF7" w:rsidRPr="00E93FF7">
        <w:rPr>
          <w:sz w:val="16"/>
          <w:szCs w:val="16"/>
        </w:rPr>
        <w:t xml:space="preserve">, </w:t>
      </w:r>
      <w:r w:rsidR="00E93FF7">
        <w:rPr>
          <w:sz w:val="16"/>
          <w:szCs w:val="16"/>
        </w:rPr>
        <w:t>4</w:t>
      </w:r>
      <w:r w:rsidR="00E93FF7" w:rsidRPr="00E93FF7">
        <w:rPr>
          <w:sz w:val="16"/>
          <w:szCs w:val="16"/>
        </w:rPr>
        <w:t xml:space="preserve"> </w:t>
      </w:r>
      <w:r w:rsidR="00E93FF7">
        <w:rPr>
          <w:sz w:val="16"/>
          <w:szCs w:val="16"/>
        </w:rPr>
        <w:t>december</w:t>
      </w:r>
      <w:r w:rsidR="00E93FF7" w:rsidRPr="00E93FF7">
        <w:rPr>
          <w:sz w:val="16"/>
          <w:szCs w:val="16"/>
        </w:rPr>
        <w:t xml:space="preserve"> 20</w:t>
      </w:r>
      <w:r w:rsidR="00E93FF7">
        <w:rPr>
          <w:sz w:val="16"/>
          <w:szCs w:val="16"/>
        </w:rPr>
        <w:t>2</w:t>
      </w:r>
      <w:r w:rsidR="00E93FF7" w:rsidRPr="00E93FF7">
        <w:rPr>
          <w:sz w:val="16"/>
          <w:szCs w:val="16"/>
        </w:rPr>
        <w:t>4, ECLI:NL:RVS:2024:4839</w:t>
      </w:r>
      <w:r w:rsidR="00E93FF7">
        <w:rPr>
          <w:sz w:val="16"/>
          <w:szCs w:val="16"/>
        </w:rPr>
        <w:t xml:space="preserve">, </w:t>
      </w:r>
      <w:proofErr w:type="spellStart"/>
      <w:r w:rsidR="00E93FF7">
        <w:rPr>
          <w:sz w:val="16"/>
          <w:szCs w:val="16"/>
        </w:rPr>
        <w:t>ovw</w:t>
      </w:r>
      <w:proofErr w:type="spellEnd"/>
      <w:r w:rsidR="00E93FF7">
        <w:rPr>
          <w:sz w:val="16"/>
          <w:szCs w:val="16"/>
        </w:rPr>
        <w:t xml:space="preserve"> 2.3).</w:t>
      </w:r>
    </w:p>
    <w:bookmarkEnd w:id="2"/>
    <w:p w14:paraId="66D8C5DC" w14:textId="77777777" w:rsidR="00417E4C" w:rsidRDefault="00417E4C" w:rsidP="00417E4C"/>
    <w:p w14:paraId="187F7478" w14:textId="08E85A05" w:rsidR="00CE1544" w:rsidRPr="002949D3" w:rsidRDefault="00CE1544" w:rsidP="002949D3">
      <w:pPr>
        <w:pStyle w:val="Lijstalinea"/>
        <w:numPr>
          <w:ilvl w:val="0"/>
          <w:numId w:val="38"/>
        </w:numPr>
        <w:rPr>
          <w:u w:val="single"/>
        </w:rPr>
      </w:pPr>
      <w:r w:rsidRPr="002949D3">
        <w:rPr>
          <w:u w:val="single"/>
        </w:rPr>
        <w:t>Verwerking</w:t>
      </w:r>
    </w:p>
    <w:p w14:paraId="3BF003F8" w14:textId="76212867" w:rsidR="006F10EE" w:rsidRDefault="006F10EE" w:rsidP="00CE1544">
      <w:r w:rsidRPr="006F10EE">
        <w:t xml:space="preserve">Verwerking </w:t>
      </w:r>
      <w:r w:rsidR="00632161">
        <w:t>heeft betrekking op</w:t>
      </w:r>
      <w:r w:rsidRPr="006F10EE">
        <w:t xml:space="preserve"> alle mechanische en chemische processen voorafgaand aan het moment van toetsen.</w:t>
      </w:r>
    </w:p>
    <w:p w14:paraId="7CBB6028" w14:textId="77777777" w:rsidR="006F10EE" w:rsidRPr="006F10EE" w:rsidRDefault="006F10EE" w:rsidP="00CE1544"/>
    <w:p w14:paraId="0D27D839" w14:textId="759CE04C" w:rsidR="00CE1544" w:rsidRDefault="00CE1544" w:rsidP="00CE1544">
      <w:pPr>
        <w:pStyle w:val="Lijstalinea"/>
        <w:numPr>
          <w:ilvl w:val="0"/>
          <w:numId w:val="34"/>
        </w:numPr>
      </w:pPr>
      <w:r>
        <w:t xml:space="preserve">Is de verwerking van het materiaal verschillend? Dan is er sprake van een nieuw geval dat apart zal moeten worden beoordeeld. </w:t>
      </w:r>
    </w:p>
    <w:p w14:paraId="4C9EB030" w14:textId="07BD1FFF" w:rsidR="00CE1544" w:rsidRDefault="00CE1544" w:rsidP="00CE1544">
      <w:pPr>
        <w:pStyle w:val="Lijstalinea"/>
        <w:numPr>
          <w:ilvl w:val="0"/>
          <w:numId w:val="34"/>
        </w:numPr>
      </w:pPr>
      <w:r>
        <w:t>Is de verwerking van het materiaal gelijk? Dan is er mogelijk sprake van hetzelfde geval, als ook aan de andere feiten en omstandigheden wordt voldaan.</w:t>
      </w:r>
    </w:p>
    <w:p w14:paraId="12770C9A" w14:textId="77777777" w:rsidR="0033167F" w:rsidRDefault="0033167F" w:rsidP="006F10EE">
      <w:pPr>
        <w:rPr>
          <w:sz w:val="16"/>
          <w:szCs w:val="16"/>
        </w:rPr>
      </w:pPr>
    </w:p>
    <w:p w14:paraId="21E8CAA5" w14:textId="54EA3E06" w:rsidR="0033167F" w:rsidRPr="0033167F" w:rsidRDefault="0033167F" w:rsidP="006F10EE">
      <w:pPr>
        <w:rPr>
          <w:sz w:val="16"/>
          <w:szCs w:val="16"/>
        </w:rPr>
      </w:pPr>
      <w:r w:rsidRPr="0033167F">
        <w:rPr>
          <w:sz w:val="16"/>
          <w:szCs w:val="16"/>
        </w:rPr>
        <w:t xml:space="preserve">Dat de verwerking van belang is bij de ‘per geval’-beoordeling afvalstof of niet-afvalstof volgt onder andere uit de volgende jurisprudentie: het arrest </w:t>
      </w:r>
      <w:r w:rsidRPr="0033167F">
        <w:rPr>
          <w:b/>
          <w:bCs/>
          <w:sz w:val="16"/>
          <w:szCs w:val="16"/>
        </w:rPr>
        <w:t>ARCO Chemie Nederland</w:t>
      </w:r>
      <w:r w:rsidRPr="0033167F">
        <w:rPr>
          <w:sz w:val="16"/>
          <w:szCs w:val="16"/>
        </w:rPr>
        <w:t xml:space="preserve"> (</w:t>
      </w:r>
      <w:proofErr w:type="spellStart"/>
      <w:r w:rsidRPr="0033167F">
        <w:rPr>
          <w:sz w:val="16"/>
          <w:szCs w:val="16"/>
        </w:rPr>
        <w:t>HvJ</w:t>
      </w:r>
      <w:proofErr w:type="spellEnd"/>
      <w:r w:rsidRPr="0033167F">
        <w:rPr>
          <w:sz w:val="16"/>
          <w:szCs w:val="16"/>
        </w:rPr>
        <w:t xml:space="preserve"> 15 juni 2000, C-418/97 en C-419/97, ECLI:EU:C:2000:318, </w:t>
      </w:r>
      <w:proofErr w:type="spellStart"/>
      <w:r w:rsidRPr="0033167F">
        <w:rPr>
          <w:sz w:val="16"/>
          <w:szCs w:val="16"/>
        </w:rPr>
        <w:t>ovw</w:t>
      </w:r>
      <w:proofErr w:type="spellEnd"/>
      <w:r w:rsidRPr="0033167F">
        <w:rPr>
          <w:sz w:val="16"/>
          <w:szCs w:val="16"/>
        </w:rPr>
        <w:t xml:space="preserve"> 95 en 97), </w:t>
      </w:r>
      <w:bookmarkStart w:id="3" w:name="_Hlk189481748"/>
      <w:r w:rsidRPr="0033167F">
        <w:rPr>
          <w:sz w:val="16"/>
          <w:szCs w:val="16"/>
        </w:rPr>
        <w:t>het arrest</w:t>
      </w:r>
      <w:r w:rsidRPr="0033167F">
        <w:rPr>
          <w:b/>
          <w:bCs/>
          <w:sz w:val="16"/>
          <w:szCs w:val="16"/>
        </w:rPr>
        <w:t xml:space="preserve"> </w:t>
      </w:r>
      <w:proofErr w:type="spellStart"/>
      <w:r w:rsidRPr="0033167F">
        <w:rPr>
          <w:b/>
          <w:bCs/>
          <w:sz w:val="16"/>
          <w:szCs w:val="16"/>
        </w:rPr>
        <w:t>Palin</w:t>
      </w:r>
      <w:proofErr w:type="spellEnd"/>
      <w:r w:rsidRPr="0033167F">
        <w:rPr>
          <w:b/>
          <w:bCs/>
          <w:sz w:val="16"/>
          <w:szCs w:val="16"/>
        </w:rPr>
        <w:t xml:space="preserve"> </w:t>
      </w:r>
      <w:proofErr w:type="spellStart"/>
      <w:r w:rsidRPr="0033167F">
        <w:rPr>
          <w:b/>
          <w:bCs/>
          <w:sz w:val="16"/>
          <w:szCs w:val="16"/>
        </w:rPr>
        <w:t>Granit</w:t>
      </w:r>
      <w:proofErr w:type="spellEnd"/>
      <w:r w:rsidRPr="0033167F">
        <w:rPr>
          <w:sz w:val="16"/>
          <w:szCs w:val="16"/>
        </w:rPr>
        <w:t xml:space="preserve"> (</w:t>
      </w:r>
      <w:proofErr w:type="spellStart"/>
      <w:r w:rsidRPr="0033167F">
        <w:rPr>
          <w:sz w:val="16"/>
          <w:szCs w:val="16"/>
        </w:rPr>
        <w:t>HvJ</w:t>
      </w:r>
      <w:proofErr w:type="spellEnd"/>
      <w:r w:rsidRPr="0033167F">
        <w:rPr>
          <w:sz w:val="16"/>
          <w:szCs w:val="16"/>
        </w:rPr>
        <w:t xml:space="preserve"> 18 april 2002, C-9/00, ECLI:EU:C:2002:232, </w:t>
      </w:r>
      <w:proofErr w:type="spellStart"/>
      <w:r w:rsidRPr="0033167F">
        <w:rPr>
          <w:sz w:val="16"/>
          <w:szCs w:val="16"/>
        </w:rPr>
        <w:t>ovw</w:t>
      </w:r>
      <w:proofErr w:type="spellEnd"/>
      <w:r w:rsidRPr="0033167F">
        <w:rPr>
          <w:sz w:val="16"/>
          <w:szCs w:val="16"/>
        </w:rPr>
        <w:t xml:space="preserve"> 27), het arrest</w:t>
      </w:r>
      <w:r w:rsidRPr="0033167F">
        <w:rPr>
          <w:b/>
          <w:bCs/>
          <w:sz w:val="16"/>
          <w:szCs w:val="16"/>
        </w:rPr>
        <w:t xml:space="preserve"> </w:t>
      </w:r>
      <w:proofErr w:type="spellStart"/>
      <w:r w:rsidRPr="0033167F">
        <w:rPr>
          <w:b/>
          <w:bCs/>
          <w:sz w:val="16"/>
          <w:szCs w:val="16"/>
        </w:rPr>
        <w:t>Niselli</w:t>
      </w:r>
      <w:proofErr w:type="spellEnd"/>
      <w:r w:rsidRPr="0033167F">
        <w:rPr>
          <w:sz w:val="16"/>
          <w:szCs w:val="16"/>
        </w:rPr>
        <w:t xml:space="preserve"> (</w:t>
      </w:r>
      <w:proofErr w:type="spellStart"/>
      <w:r w:rsidRPr="0033167F">
        <w:rPr>
          <w:sz w:val="16"/>
          <w:szCs w:val="16"/>
        </w:rPr>
        <w:t>HvJ</w:t>
      </w:r>
      <w:proofErr w:type="spellEnd"/>
      <w:r w:rsidRPr="0033167F">
        <w:rPr>
          <w:sz w:val="16"/>
          <w:szCs w:val="16"/>
        </w:rPr>
        <w:t xml:space="preserve"> 11 november 2004, C-457/02, ECLI:EU:C:2004:707, </w:t>
      </w:r>
      <w:proofErr w:type="spellStart"/>
      <w:r w:rsidRPr="0033167F">
        <w:rPr>
          <w:sz w:val="16"/>
          <w:szCs w:val="16"/>
        </w:rPr>
        <w:t>ovw</w:t>
      </w:r>
      <w:proofErr w:type="spellEnd"/>
      <w:r w:rsidRPr="0033167F">
        <w:rPr>
          <w:sz w:val="16"/>
          <w:szCs w:val="16"/>
        </w:rPr>
        <w:t xml:space="preserve"> 37)</w:t>
      </w:r>
      <w:r>
        <w:rPr>
          <w:sz w:val="16"/>
          <w:szCs w:val="16"/>
        </w:rPr>
        <w:t xml:space="preserve">, </w:t>
      </w:r>
      <w:r w:rsidRPr="0033167F">
        <w:rPr>
          <w:sz w:val="16"/>
          <w:szCs w:val="16"/>
        </w:rPr>
        <w:t xml:space="preserve">het arrest </w:t>
      </w:r>
      <w:r w:rsidRPr="0033167F">
        <w:rPr>
          <w:b/>
          <w:bCs/>
          <w:sz w:val="16"/>
          <w:szCs w:val="16"/>
        </w:rPr>
        <w:t xml:space="preserve">Commune de </w:t>
      </w:r>
      <w:proofErr w:type="spellStart"/>
      <w:r w:rsidRPr="0033167F">
        <w:rPr>
          <w:b/>
          <w:bCs/>
          <w:sz w:val="16"/>
          <w:szCs w:val="16"/>
        </w:rPr>
        <w:t>Mesquer</w:t>
      </w:r>
      <w:proofErr w:type="spellEnd"/>
      <w:r w:rsidRPr="0033167F">
        <w:rPr>
          <w:sz w:val="16"/>
          <w:szCs w:val="16"/>
        </w:rPr>
        <w:t xml:space="preserve"> (</w:t>
      </w:r>
      <w:proofErr w:type="spellStart"/>
      <w:r w:rsidRPr="0033167F">
        <w:rPr>
          <w:sz w:val="16"/>
          <w:szCs w:val="16"/>
        </w:rPr>
        <w:t>HvJ</w:t>
      </w:r>
      <w:proofErr w:type="spellEnd"/>
      <w:r w:rsidRPr="0033167F">
        <w:rPr>
          <w:sz w:val="16"/>
          <w:szCs w:val="16"/>
        </w:rPr>
        <w:t xml:space="preserve"> 24 juni 2008, C-188/07, ECLI:EU:C:2008:359, </w:t>
      </w:r>
      <w:proofErr w:type="spellStart"/>
      <w:r w:rsidRPr="0033167F">
        <w:rPr>
          <w:sz w:val="16"/>
          <w:szCs w:val="16"/>
        </w:rPr>
        <w:t>ovw</w:t>
      </w:r>
      <w:proofErr w:type="spellEnd"/>
      <w:r w:rsidRPr="0033167F">
        <w:rPr>
          <w:sz w:val="16"/>
          <w:szCs w:val="16"/>
        </w:rPr>
        <w:t xml:space="preserve"> 42)</w:t>
      </w:r>
      <w:bookmarkEnd w:id="3"/>
      <w:r w:rsidRPr="0033167F">
        <w:rPr>
          <w:sz w:val="16"/>
          <w:szCs w:val="16"/>
        </w:rPr>
        <w:t>, het arrest</w:t>
      </w:r>
      <w:r w:rsidRPr="0033167F">
        <w:rPr>
          <w:b/>
          <w:bCs/>
          <w:sz w:val="16"/>
          <w:szCs w:val="16"/>
        </w:rPr>
        <w:t xml:space="preserve"> </w:t>
      </w:r>
      <w:proofErr w:type="spellStart"/>
      <w:r w:rsidRPr="0033167F">
        <w:rPr>
          <w:b/>
          <w:bCs/>
          <w:sz w:val="16"/>
          <w:szCs w:val="16"/>
        </w:rPr>
        <w:t>Lapin</w:t>
      </w:r>
      <w:proofErr w:type="spellEnd"/>
      <w:r w:rsidRPr="0033167F">
        <w:rPr>
          <w:sz w:val="16"/>
          <w:szCs w:val="16"/>
        </w:rPr>
        <w:t xml:space="preserve"> (</w:t>
      </w:r>
      <w:proofErr w:type="spellStart"/>
      <w:r w:rsidRPr="0033167F">
        <w:rPr>
          <w:sz w:val="16"/>
          <w:szCs w:val="16"/>
        </w:rPr>
        <w:t>HvJ</w:t>
      </w:r>
      <w:proofErr w:type="spellEnd"/>
      <w:r w:rsidRPr="0033167F">
        <w:rPr>
          <w:sz w:val="16"/>
          <w:szCs w:val="16"/>
        </w:rPr>
        <w:t xml:space="preserve"> 7 maart 2013, C-358/11, ECLI:EU:C:2013:142, </w:t>
      </w:r>
      <w:proofErr w:type="spellStart"/>
      <w:r w:rsidRPr="0033167F">
        <w:rPr>
          <w:sz w:val="16"/>
          <w:szCs w:val="16"/>
        </w:rPr>
        <w:t>ovw</w:t>
      </w:r>
      <w:proofErr w:type="spellEnd"/>
      <w:r w:rsidRPr="0033167F">
        <w:rPr>
          <w:sz w:val="16"/>
          <w:szCs w:val="16"/>
        </w:rPr>
        <w:t xml:space="preserve"> 57 en 58)</w:t>
      </w:r>
      <w:r>
        <w:rPr>
          <w:sz w:val="16"/>
          <w:szCs w:val="16"/>
        </w:rPr>
        <w:t xml:space="preserve">, </w:t>
      </w:r>
      <w:r w:rsidRPr="0033167F">
        <w:rPr>
          <w:sz w:val="16"/>
          <w:szCs w:val="16"/>
        </w:rPr>
        <w:t xml:space="preserve">het arrest </w:t>
      </w:r>
      <w:r w:rsidRPr="0033167F">
        <w:rPr>
          <w:b/>
          <w:bCs/>
          <w:sz w:val="16"/>
          <w:szCs w:val="16"/>
        </w:rPr>
        <w:t>Shell</w:t>
      </w:r>
      <w:r w:rsidRPr="0033167F">
        <w:rPr>
          <w:sz w:val="16"/>
          <w:szCs w:val="16"/>
        </w:rPr>
        <w:t xml:space="preserve"> (</w:t>
      </w:r>
      <w:proofErr w:type="spellStart"/>
      <w:r w:rsidRPr="0033167F">
        <w:rPr>
          <w:sz w:val="16"/>
          <w:szCs w:val="16"/>
        </w:rPr>
        <w:t>HvJ</w:t>
      </w:r>
      <w:proofErr w:type="spellEnd"/>
      <w:r w:rsidRPr="0033167F">
        <w:rPr>
          <w:sz w:val="16"/>
          <w:szCs w:val="16"/>
        </w:rPr>
        <w:t xml:space="preserve"> 12 december 2013, C-241/12 en C-242/12, ECLI:EU:C:2013:821, </w:t>
      </w:r>
      <w:proofErr w:type="spellStart"/>
      <w:r w:rsidRPr="0033167F">
        <w:rPr>
          <w:sz w:val="16"/>
          <w:szCs w:val="16"/>
        </w:rPr>
        <w:t>ovw</w:t>
      </w:r>
      <w:proofErr w:type="spellEnd"/>
      <w:r w:rsidRPr="0033167F">
        <w:rPr>
          <w:sz w:val="16"/>
          <w:szCs w:val="16"/>
        </w:rPr>
        <w:t xml:space="preserve"> 52-53), uitspraak</w:t>
      </w:r>
      <w:r w:rsidRPr="0033167F">
        <w:rPr>
          <w:b/>
          <w:bCs/>
          <w:sz w:val="16"/>
          <w:szCs w:val="16"/>
        </w:rPr>
        <w:t xml:space="preserve"> North </w:t>
      </w:r>
      <w:proofErr w:type="spellStart"/>
      <w:r w:rsidRPr="0033167F">
        <w:rPr>
          <w:b/>
          <w:bCs/>
          <w:sz w:val="16"/>
          <w:szCs w:val="16"/>
        </w:rPr>
        <w:t>Refinery</w:t>
      </w:r>
      <w:proofErr w:type="spellEnd"/>
      <w:r w:rsidRPr="0033167F">
        <w:rPr>
          <w:sz w:val="16"/>
          <w:szCs w:val="16"/>
        </w:rPr>
        <w:t xml:space="preserve"> (</w:t>
      </w:r>
      <w:proofErr w:type="spellStart"/>
      <w:r w:rsidRPr="0033167F">
        <w:rPr>
          <w:sz w:val="16"/>
          <w:szCs w:val="16"/>
        </w:rPr>
        <w:t>ABRvS</w:t>
      </w:r>
      <w:proofErr w:type="spellEnd"/>
      <w:r w:rsidRPr="0033167F">
        <w:rPr>
          <w:sz w:val="16"/>
          <w:szCs w:val="16"/>
        </w:rPr>
        <w:t xml:space="preserve">, 19 november 2014, ECLI:NL:RVS:2014:4130, </w:t>
      </w:r>
      <w:proofErr w:type="spellStart"/>
      <w:r w:rsidRPr="0033167F">
        <w:rPr>
          <w:sz w:val="16"/>
          <w:szCs w:val="16"/>
        </w:rPr>
        <w:t>ovw</w:t>
      </w:r>
      <w:proofErr w:type="spellEnd"/>
      <w:r w:rsidRPr="0033167F">
        <w:rPr>
          <w:sz w:val="16"/>
          <w:szCs w:val="16"/>
        </w:rPr>
        <w:t xml:space="preserve"> 5 en 5.6)</w:t>
      </w:r>
      <w:r>
        <w:rPr>
          <w:sz w:val="16"/>
          <w:szCs w:val="16"/>
        </w:rPr>
        <w:t xml:space="preserve"> en </w:t>
      </w:r>
      <w:r w:rsidRPr="0033167F">
        <w:rPr>
          <w:sz w:val="16"/>
          <w:szCs w:val="16"/>
        </w:rPr>
        <w:t>het arrest</w:t>
      </w:r>
      <w:r w:rsidRPr="0033167F">
        <w:rPr>
          <w:b/>
          <w:bCs/>
          <w:sz w:val="16"/>
          <w:szCs w:val="16"/>
        </w:rPr>
        <w:t xml:space="preserve"> TPS NOLO</w:t>
      </w:r>
      <w:r w:rsidRPr="0033167F">
        <w:rPr>
          <w:sz w:val="16"/>
          <w:szCs w:val="16"/>
        </w:rPr>
        <w:t xml:space="preserve"> (</w:t>
      </w:r>
      <w:proofErr w:type="spellStart"/>
      <w:r w:rsidRPr="0033167F">
        <w:rPr>
          <w:sz w:val="16"/>
          <w:szCs w:val="16"/>
        </w:rPr>
        <w:t>Geobal</w:t>
      </w:r>
      <w:proofErr w:type="spellEnd"/>
      <w:r w:rsidRPr="0033167F">
        <w:rPr>
          <w:sz w:val="16"/>
          <w:szCs w:val="16"/>
        </w:rPr>
        <w:t>) (</w:t>
      </w:r>
      <w:proofErr w:type="spellStart"/>
      <w:r w:rsidRPr="0033167F">
        <w:rPr>
          <w:sz w:val="16"/>
          <w:szCs w:val="16"/>
        </w:rPr>
        <w:t>HvJ</w:t>
      </w:r>
      <w:proofErr w:type="spellEnd"/>
      <w:r w:rsidRPr="0033167F">
        <w:rPr>
          <w:sz w:val="16"/>
          <w:szCs w:val="16"/>
        </w:rPr>
        <w:t xml:space="preserve"> 14 maart 2019, C399/17, ECLI:EU:C:2019:200, </w:t>
      </w:r>
      <w:proofErr w:type="spellStart"/>
      <w:r w:rsidRPr="0033167F">
        <w:rPr>
          <w:sz w:val="16"/>
          <w:szCs w:val="16"/>
        </w:rPr>
        <w:t>ovw</w:t>
      </w:r>
      <w:proofErr w:type="spellEnd"/>
      <w:r w:rsidRPr="0033167F">
        <w:rPr>
          <w:sz w:val="16"/>
          <w:szCs w:val="16"/>
        </w:rPr>
        <w:t xml:space="preserve"> 64).</w:t>
      </w:r>
    </w:p>
    <w:p w14:paraId="6C5F9B13" w14:textId="77777777" w:rsidR="00A70A17" w:rsidRDefault="00A70A17" w:rsidP="006F10EE">
      <w:pPr>
        <w:rPr>
          <w:u w:val="single"/>
        </w:rPr>
      </w:pPr>
    </w:p>
    <w:p w14:paraId="246FC0CB" w14:textId="1EC0E5C9" w:rsidR="006F10EE" w:rsidRPr="002949D3" w:rsidRDefault="006F10EE" w:rsidP="002949D3">
      <w:pPr>
        <w:pStyle w:val="Lijstalinea"/>
        <w:numPr>
          <w:ilvl w:val="0"/>
          <w:numId w:val="38"/>
        </w:numPr>
        <w:rPr>
          <w:u w:val="single"/>
        </w:rPr>
      </w:pPr>
      <w:r w:rsidRPr="002949D3">
        <w:rPr>
          <w:u w:val="single"/>
        </w:rPr>
        <w:t>Aard en eigenschappen</w:t>
      </w:r>
    </w:p>
    <w:p w14:paraId="6861F82F" w14:textId="06B5E660" w:rsidR="008A4260" w:rsidRPr="004B4DCC" w:rsidRDefault="008A4260" w:rsidP="006F10EE">
      <w:r w:rsidRPr="004B4DCC">
        <w:t>Met de aard en eigenschappen wordt de structuur en toestand van het materiaal bedoeld</w:t>
      </w:r>
      <w:r w:rsidR="002B40E7">
        <w:t xml:space="preserve"> gedurende het gehele proces</w:t>
      </w:r>
      <w:r w:rsidRPr="004B4DCC">
        <w:t xml:space="preserve">, en hoe het materiaal zich gedraagt onder verschillende omstandigheden. </w:t>
      </w:r>
    </w:p>
    <w:p w14:paraId="62D91071" w14:textId="77777777" w:rsidR="008A4260" w:rsidRPr="004B4DCC" w:rsidRDefault="008A4260" w:rsidP="006F10EE">
      <w:pPr>
        <w:rPr>
          <w:u w:val="single"/>
        </w:rPr>
      </w:pPr>
    </w:p>
    <w:p w14:paraId="794B1E9A" w14:textId="4886C2FC" w:rsidR="002C278B" w:rsidRPr="004B4DCC" w:rsidRDefault="00F211FF" w:rsidP="00F211FF">
      <w:pPr>
        <w:pStyle w:val="Lijstalinea"/>
        <w:numPr>
          <w:ilvl w:val="0"/>
          <w:numId w:val="34"/>
        </w:numPr>
      </w:pPr>
      <w:r w:rsidRPr="004B4DCC">
        <w:t xml:space="preserve">Is de </w:t>
      </w:r>
      <w:r w:rsidR="00B830C6" w:rsidRPr="004B4DCC">
        <w:t>aard en eigenschappen</w:t>
      </w:r>
      <w:r w:rsidRPr="004B4DCC">
        <w:t xml:space="preserve"> van het materiaal verschillend? Dan is er sprake van een nieuw geval dat apart zal moeten worden beoordeeld. </w:t>
      </w:r>
    </w:p>
    <w:p w14:paraId="7A65E740" w14:textId="0B443928" w:rsidR="00F211FF" w:rsidRPr="004B4DCC" w:rsidRDefault="00F211FF" w:rsidP="00F211FF">
      <w:pPr>
        <w:pStyle w:val="Lijstalinea"/>
        <w:numPr>
          <w:ilvl w:val="0"/>
          <w:numId w:val="34"/>
        </w:numPr>
      </w:pPr>
      <w:r w:rsidRPr="004B4DCC">
        <w:t xml:space="preserve">Is de </w:t>
      </w:r>
      <w:r w:rsidR="00B830C6" w:rsidRPr="004B4DCC">
        <w:t>aard en eigenschappen</w:t>
      </w:r>
      <w:r w:rsidRPr="004B4DCC">
        <w:t xml:space="preserve"> van het materiaal gelijk? Dan is er mogelijk sprake van hetzelfde geval, als ook aan de andere feiten en omstandigheden wordt voldaan.</w:t>
      </w:r>
    </w:p>
    <w:p w14:paraId="63F5197A" w14:textId="77777777" w:rsidR="00B830C6" w:rsidRDefault="00B830C6" w:rsidP="00B830C6">
      <w:pPr>
        <w:rPr>
          <w:u w:val="single"/>
        </w:rPr>
      </w:pPr>
    </w:p>
    <w:p w14:paraId="65705E2E" w14:textId="71C459F1" w:rsidR="00A70A17" w:rsidRPr="004B4DCC" w:rsidRDefault="00A70A17" w:rsidP="00B830C6">
      <w:pPr>
        <w:rPr>
          <w:sz w:val="16"/>
          <w:szCs w:val="16"/>
        </w:rPr>
      </w:pPr>
      <w:r w:rsidRPr="002B40E7">
        <w:rPr>
          <w:sz w:val="16"/>
          <w:szCs w:val="16"/>
        </w:rPr>
        <w:t xml:space="preserve">Dat de aard en eigenschappen van belang is bij de ‘per geval’-beoordeling afvalstof of niet-afvalstof volgt onder andere uit de volgende jurisprudentie: </w:t>
      </w:r>
      <w:r w:rsidR="002B40E7" w:rsidRPr="002B40E7">
        <w:rPr>
          <w:sz w:val="16"/>
          <w:szCs w:val="16"/>
        </w:rPr>
        <w:t xml:space="preserve">het arrest </w:t>
      </w:r>
      <w:r w:rsidR="002B40E7" w:rsidRPr="002B40E7">
        <w:rPr>
          <w:b/>
          <w:bCs/>
          <w:sz w:val="16"/>
          <w:szCs w:val="16"/>
        </w:rPr>
        <w:t>ARCO Chemie Nederland</w:t>
      </w:r>
      <w:r w:rsidR="002B40E7" w:rsidRPr="002B40E7">
        <w:rPr>
          <w:sz w:val="16"/>
          <w:szCs w:val="16"/>
        </w:rPr>
        <w:t xml:space="preserve"> (</w:t>
      </w:r>
      <w:proofErr w:type="spellStart"/>
      <w:r w:rsidR="002B40E7" w:rsidRPr="002B40E7">
        <w:rPr>
          <w:sz w:val="16"/>
          <w:szCs w:val="16"/>
        </w:rPr>
        <w:t>HvJ</w:t>
      </w:r>
      <w:proofErr w:type="spellEnd"/>
      <w:r w:rsidR="002B40E7" w:rsidRPr="002B40E7">
        <w:rPr>
          <w:sz w:val="16"/>
          <w:szCs w:val="16"/>
        </w:rPr>
        <w:t xml:space="preserve"> 15 juni 2000, C-418/97 en C-419/97, ECLI:EU:C:2000:318, </w:t>
      </w:r>
      <w:proofErr w:type="spellStart"/>
      <w:r w:rsidR="002B40E7" w:rsidRPr="002B40E7">
        <w:rPr>
          <w:sz w:val="16"/>
          <w:szCs w:val="16"/>
        </w:rPr>
        <w:t>ovw</w:t>
      </w:r>
      <w:proofErr w:type="spellEnd"/>
      <w:r w:rsidR="002B40E7" w:rsidRPr="002B40E7">
        <w:rPr>
          <w:sz w:val="16"/>
          <w:szCs w:val="16"/>
        </w:rPr>
        <w:t xml:space="preserve"> 94), het arrest</w:t>
      </w:r>
      <w:r w:rsidR="002B40E7" w:rsidRPr="002B40E7">
        <w:rPr>
          <w:b/>
          <w:bCs/>
          <w:sz w:val="16"/>
          <w:szCs w:val="16"/>
        </w:rPr>
        <w:t xml:space="preserve"> </w:t>
      </w:r>
      <w:proofErr w:type="spellStart"/>
      <w:r w:rsidR="002B40E7" w:rsidRPr="002B40E7">
        <w:rPr>
          <w:b/>
          <w:bCs/>
          <w:sz w:val="16"/>
          <w:szCs w:val="16"/>
        </w:rPr>
        <w:t>Palin</w:t>
      </w:r>
      <w:proofErr w:type="spellEnd"/>
      <w:r w:rsidR="002B40E7" w:rsidRPr="002B40E7">
        <w:rPr>
          <w:b/>
          <w:bCs/>
          <w:sz w:val="16"/>
          <w:szCs w:val="16"/>
        </w:rPr>
        <w:t xml:space="preserve"> </w:t>
      </w:r>
      <w:proofErr w:type="spellStart"/>
      <w:r w:rsidR="002B40E7" w:rsidRPr="002B40E7">
        <w:rPr>
          <w:b/>
          <w:bCs/>
          <w:sz w:val="16"/>
          <w:szCs w:val="16"/>
        </w:rPr>
        <w:t>Granit</w:t>
      </w:r>
      <w:proofErr w:type="spellEnd"/>
      <w:r w:rsidR="002B40E7" w:rsidRPr="002B40E7">
        <w:rPr>
          <w:sz w:val="16"/>
          <w:szCs w:val="16"/>
        </w:rPr>
        <w:t xml:space="preserve"> (</w:t>
      </w:r>
      <w:proofErr w:type="spellStart"/>
      <w:r w:rsidR="002B40E7" w:rsidRPr="002B40E7">
        <w:rPr>
          <w:sz w:val="16"/>
          <w:szCs w:val="16"/>
        </w:rPr>
        <w:t>HvJ</w:t>
      </w:r>
      <w:proofErr w:type="spellEnd"/>
      <w:r w:rsidR="002B40E7" w:rsidRPr="002B40E7">
        <w:rPr>
          <w:sz w:val="16"/>
          <w:szCs w:val="16"/>
        </w:rPr>
        <w:t xml:space="preserve"> 18 april 2002, C-9/00, ECLI:EU:C:2002:232, </w:t>
      </w:r>
      <w:proofErr w:type="spellStart"/>
      <w:r w:rsidR="002B40E7" w:rsidRPr="002B40E7">
        <w:rPr>
          <w:sz w:val="16"/>
          <w:szCs w:val="16"/>
        </w:rPr>
        <w:t>ovw</w:t>
      </w:r>
      <w:proofErr w:type="spellEnd"/>
      <w:r w:rsidR="002B40E7" w:rsidRPr="002B40E7">
        <w:rPr>
          <w:sz w:val="16"/>
          <w:szCs w:val="16"/>
        </w:rPr>
        <w:t xml:space="preserve"> 43-45), het arrest </w:t>
      </w:r>
      <w:r w:rsidR="002B40E7" w:rsidRPr="002B40E7">
        <w:rPr>
          <w:b/>
          <w:bCs/>
          <w:sz w:val="16"/>
          <w:szCs w:val="16"/>
        </w:rPr>
        <w:t>Shell</w:t>
      </w:r>
      <w:r w:rsidR="002B40E7" w:rsidRPr="002B40E7">
        <w:rPr>
          <w:sz w:val="16"/>
          <w:szCs w:val="16"/>
        </w:rPr>
        <w:t xml:space="preserve"> (</w:t>
      </w:r>
      <w:proofErr w:type="spellStart"/>
      <w:r w:rsidR="002B40E7" w:rsidRPr="002B40E7">
        <w:rPr>
          <w:sz w:val="16"/>
          <w:szCs w:val="16"/>
        </w:rPr>
        <w:t>HvJ</w:t>
      </w:r>
      <w:proofErr w:type="spellEnd"/>
      <w:r w:rsidR="002B40E7" w:rsidRPr="002B40E7">
        <w:rPr>
          <w:sz w:val="16"/>
          <w:szCs w:val="16"/>
        </w:rPr>
        <w:t xml:space="preserve"> 12 december 2013, C-241/12 en C-242/12, ECLI:EU:C:2013:821, </w:t>
      </w:r>
      <w:proofErr w:type="spellStart"/>
      <w:r w:rsidR="002B40E7" w:rsidRPr="002B40E7">
        <w:rPr>
          <w:sz w:val="16"/>
          <w:szCs w:val="16"/>
        </w:rPr>
        <w:t>ovw</w:t>
      </w:r>
      <w:proofErr w:type="spellEnd"/>
      <w:r w:rsidR="002B40E7" w:rsidRPr="002B40E7">
        <w:rPr>
          <w:sz w:val="16"/>
          <w:szCs w:val="16"/>
        </w:rPr>
        <w:t xml:space="preserve"> 27, 44-45), uitspraak </w:t>
      </w:r>
      <w:r w:rsidR="002B40E7" w:rsidRPr="002B40E7">
        <w:rPr>
          <w:b/>
          <w:bCs/>
          <w:sz w:val="16"/>
          <w:szCs w:val="16"/>
        </w:rPr>
        <w:t xml:space="preserve">North </w:t>
      </w:r>
      <w:proofErr w:type="spellStart"/>
      <w:r w:rsidR="002B40E7" w:rsidRPr="002B40E7">
        <w:rPr>
          <w:b/>
          <w:bCs/>
          <w:sz w:val="16"/>
          <w:szCs w:val="16"/>
        </w:rPr>
        <w:t>Refinery</w:t>
      </w:r>
      <w:proofErr w:type="spellEnd"/>
      <w:r w:rsidR="002B40E7" w:rsidRPr="002B40E7">
        <w:rPr>
          <w:sz w:val="16"/>
          <w:szCs w:val="16"/>
        </w:rPr>
        <w:t xml:space="preserve"> (</w:t>
      </w:r>
      <w:proofErr w:type="spellStart"/>
      <w:r w:rsidR="002B40E7" w:rsidRPr="002B40E7">
        <w:rPr>
          <w:sz w:val="16"/>
          <w:szCs w:val="16"/>
        </w:rPr>
        <w:t>ABRvS</w:t>
      </w:r>
      <w:proofErr w:type="spellEnd"/>
      <w:r w:rsidR="002B40E7" w:rsidRPr="002B40E7">
        <w:rPr>
          <w:sz w:val="16"/>
          <w:szCs w:val="16"/>
        </w:rPr>
        <w:t xml:space="preserve">, 19 november 2014, ECLI:NL:RVS:2014:4130, </w:t>
      </w:r>
      <w:proofErr w:type="spellStart"/>
      <w:r w:rsidR="002B40E7" w:rsidRPr="002B40E7">
        <w:rPr>
          <w:sz w:val="16"/>
          <w:szCs w:val="16"/>
        </w:rPr>
        <w:t>ovw</w:t>
      </w:r>
      <w:proofErr w:type="spellEnd"/>
      <w:r w:rsidR="002B40E7" w:rsidRPr="002B40E7">
        <w:rPr>
          <w:sz w:val="16"/>
          <w:szCs w:val="16"/>
        </w:rPr>
        <w:t xml:space="preserve"> 5.4-5.6), het arrest</w:t>
      </w:r>
      <w:r w:rsidR="002B40E7" w:rsidRPr="002B40E7">
        <w:rPr>
          <w:b/>
          <w:bCs/>
          <w:sz w:val="16"/>
          <w:szCs w:val="16"/>
        </w:rPr>
        <w:t xml:space="preserve"> TPS NOLO</w:t>
      </w:r>
      <w:r w:rsidR="002B40E7" w:rsidRPr="002B40E7">
        <w:rPr>
          <w:sz w:val="16"/>
          <w:szCs w:val="16"/>
        </w:rPr>
        <w:t xml:space="preserve"> (</w:t>
      </w:r>
      <w:proofErr w:type="spellStart"/>
      <w:r w:rsidR="002B40E7" w:rsidRPr="002B40E7">
        <w:rPr>
          <w:sz w:val="16"/>
          <w:szCs w:val="16"/>
        </w:rPr>
        <w:t>Geobal</w:t>
      </w:r>
      <w:proofErr w:type="spellEnd"/>
      <w:r w:rsidR="002B40E7" w:rsidRPr="002B40E7">
        <w:rPr>
          <w:sz w:val="16"/>
          <w:szCs w:val="16"/>
        </w:rPr>
        <w:t>) (</w:t>
      </w:r>
      <w:proofErr w:type="spellStart"/>
      <w:r w:rsidR="002B40E7" w:rsidRPr="002B40E7">
        <w:rPr>
          <w:sz w:val="16"/>
          <w:szCs w:val="16"/>
        </w:rPr>
        <w:t>HvJ</w:t>
      </w:r>
      <w:proofErr w:type="spellEnd"/>
      <w:r w:rsidR="002B40E7" w:rsidRPr="002B40E7">
        <w:rPr>
          <w:sz w:val="16"/>
          <w:szCs w:val="16"/>
        </w:rPr>
        <w:t xml:space="preserve"> 14 maart 2019, C399/17, ECLI:EU:C:2019:200, </w:t>
      </w:r>
      <w:proofErr w:type="spellStart"/>
      <w:r w:rsidR="002B40E7" w:rsidRPr="002B40E7">
        <w:rPr>
          <w:sz w:val="16"/>
          <w:szCs w:val="16"/>
        </w:rPr>
        <w:t>ovw</w:t>
      </w:r>
      <w:proofErr w:type="spellEnd"/>
      <w:r w:rsidR="002B40E7" w:rsidRPr="002B40E7">
        <w:rPr>
          <w:sz w:val="16"/>
          <w:szCs w:val="16"/>
        </w:rPr>
        <w:t xml:space="preserve"> 32, 65-66) en het arrest</w:t>
      </w:r>
      <w:r w:rsidR="002B40E7" w:rsidRPr="002B40E7">
        <w:rPr>
          <w:b/>
          <w:bCs/>
          <w:sz w:val="16"/>
          <w:szCs w:val="16"/>
        </w:rPr>
        <w:t xml:space="preserve"> </w:t>
      </w:r>
      <w:proofErr w:type="spellStart"/>
      <w:r w:rsidR="002B40E7" w:rsidRPr="002B40E7">
        <w:rPr>
          <w:b/>
          <w:bCs/>
          <w:sz w:val="16"/>
          <w:szCs w:val="16"/>
        </w:rPr>
        <w:t>Tronex</w:t>
      </w:r>
      <w:proofErr w:type="spellEnd"/>
      <w:r w:rsidR="002B40E7" w:rsidRPr="002B40E7">
        <w:rPr>
          <w:sz w:val="16"/>
          <w:szCs w:val="16"/>
        </w:rPr>
        <w:t xml:space="preserve"> (</w:t>
      </w:r>
      <w:proofErr w:type="spellStart"/>
      <w:r w:rsidR="002B40E7" w:rsidRPr="002B40E7">
        <w:rPr>
          <w:sz w:val="16"/>
          <w:szCs w:val="16"/>
        </w:rPr>
        <w:t>HvJ</w:t>
      </w:r>
      <w:proofErr w:type="spellEnd"/>
      <w:r w:rsidR="002B40E7" w:rsidRPr="002B40E7">
        <w:rPr>
          <w:sz w:val="16"/>
          <w:szCs w:val="16"/>
        </w:rPr>
        <w:t xml:space="preserve"> 4 juli 2019, C-624/17, ECLI:EU:C:2019:150, </w:t>
      </w:r>
      <w:proofErr w:type="spellStart"/>
      <w:r w:rsidR="002B40E7" w:rsidRPr="002B40E7">
        <w:rPr>
          <w:sz w:val="16"/>
          <w:szCs w:val="16"/>
        </w:rPr>
        <w:t>ovw</w:t>
      </w:r>
      <w:proofErr w:type="spellEnd"/>
      <w:r w:rsidR="002B40E7" w:rsidRPr="002B40E7">
        <w:rPr>
          <w:sz w:val="16"/>
          <w:szCs w:val="16"/>
        </w:rPr>
        <w:t xml:space="preserve"> 36-38 en 40)</w:t>
      </w:r>
      <w:r w:rsidR="002B40E7">
        <w:rPr>
          <w:sz w:val="16"/>
          <w:szCs w:val="16"/>
        </w:rPr>
        <w:t>.</w:t>
      </w:r>
      <w:r w:rsidR="002B40E7" w:rsidRPr="002B40E7">
        <w:rPr>
          <w:sz w:val="16"/>
          <w:szCs w:val="16"/>
        </w:rPr>
        <w:t xml:space="preserve"> </w:t>
      </w:r>
    </w:p>
    <w:p w14:paraId="3345CF42" w14:textId="77777777" w:rsidR="00A70A17" w:rsidRDefault="00A70A17" w:rsidP="00B830C6">
      <w:pPr>
        <w:rPr>
          <w:u w:val="single"/>
        </w:rPr>
      </w:pPr>
    </w:p>
    <w:p w14:paraId="1E0B5141" w14:textId="2547FECD" w:rsidR="00B830C6" w:rsidRPr="002949D3" w:rsidRDefault="00B830C6" w:rsidP="002949D3">
      <w:pPr>
        <w:pStyle w:val="Lijstalinea"/>
        <w:numPr>
          <w:ilvl w:val="0"/>
          <w:numId w:val="38"/>
        </w:numPr>
        <w:rPr>
          <w:u w:val="single"/>
        </w:rPr>
      </w:pPr>
      <w:r w:rsidRPr="002949D3">
        <w:rPr>
          <w:u w:val="single"/>
        </w:rPr>
        <w:t>Samenstelling</w:t>
      </w:r>
    </w:p>
    <w:p w14:paraId="7617F529" w14:textId="5E6A25F7" w:rsidR="008A4260" w:rsidRPr="008A4260" w:rsidRDefault="008A4260" w:rsidP="00B830C6">
      <w:r w:rsidRPr="008A4260">
        <w:t xml:space="preserve">Met de samenstelling worden alle fysische en chemische componenten bedoeld waaruit het materiaal bestaat. </w:t>
      </w:r>
    </w:p>
    <w:p w14:paraId="00E6461D" w14:textId="77777777" w:rsidR="008A4260" w:rsidRPr="00F211FF" w:rsidRDefault="008A4260" w:rsidP="00B830C6">
      <w:pPr>
        <w:rPr>
          <w:u w:val="single"/>
        </w:rPr>
      </w:pPr>
    </w:p>
    <w:p w14:paraId="3338E9B4" w14:textId="77777777" w:rsidR="00B830C6" w:rsidRDefault="00B830C6" w:rsidP="00B830C6">
      <w:pPr>
        <w:pStyle w:val="Lijstalinea"/>
        <w:numPr>
          <w:ilvl w:val="0"/>
          <w:numId w:val="34"/>
        </w:numPr>
      </w:pPr>
      <w:r>
        <w:t xml:space="preserve">Is de samenstelling van het materiaal verschillend? Dan is er sprake van een nieuw geval dat apart zal moeten worden beoordeeld. </w:t>
      </w:r>
    </w:p>
    <w:p w14:paraId="296A75FC" w14:textId="77777777" w:rsidR="00B830C6" w:rsidRDefault="00B830C6" w:rsidP="00B830C6">
      <w:pPr>
        <w:pStyle w:val="Lijstalinea"/>
        <w:numPr>
          <w:ilvl w:val="0"/>
          <w:numId w:val="34"/>
        </w:numPr>
      </w:pPr>
      <w:r>
        <w:t>Is de samenstelling van het materiaal gelijk? Dan is er mogelijk sprake van hetzelfde geval, als ook aan de andere feiten en omstandigheden wordt voldaan.</w:t>
      </w:r>
    </w:p>
    <w:p w14:paraId="602297DC" w14:textId="77777777" w:rsidR="00F211FF" w:rsidRDefault="00F211FF" w:rsidP="00C011BD"/>
    <w:p w14:paraId="6D85BA9E" w14:textId="70C81DD1" w:rsidR="002B40E7" w:rsidRPr="002B40E7" w:rsidRDefault="002B40E7" w:rsidP="002B40E7">
      <w:pPr>
        <w:rPr>
          <w:sz w:val="16"/>
          <w:szCs w:val="16"/>
        </w:rPr>
      </w:pPr>
      <w:r w:rsidRPr="004B4DCC">
        <w:rPr>
          <w:sz w:val="16"/>
          <w:szCs w:val="16"/>
        </w:rPr>
        <w:t>Dat de samenstelling van belang is bij de ‘per geval’-beoordeling afvalstof of niet-afvalstof volgt onder andere uit de volgende jurisprudentie</w:t>
      </w:r>
      <w:r w:rsidRPr="002B40E7">
        <w:rPr>
          <w:sz w:val="16"/>
          <w:szCs w:val="16"/>
        </w:rPr>
        <w:t xml:space="preserve">: het arrest </w:t>
      </w:r>
      <w:r w:rsidRPr="002B40E7">
        <w:rPr>
          <w:b/>
          <w:bCs/>
          <w:sz w:val="16"/>
          <w:szCs w:val="16"/>
        </w:rPr>
        <w:t>ARCO Chemie Nederland</w:t>
      </w:r>
      <w:r w:rsidRPr="002B40E7">
        <w:rPr>
          <w:sz w:val="16"/>
          <w:szCs w:val="16"/>
        </w:rPr>
        <w:t xml:space="preserve"> (</w:t>
      </w:r>
      <w:proofErr w:type="spellStart"/>
      <w:r w:rsidRPr="002B40E7">
        <w:rPr>
          <w:sz w:val="16"/>
          <w:szCs w:val="16"/>
        </w:rPr>
        <w:t>HvJ</w:t>
      </w:r>
      <w:proofErr w:type="spellEnd"/>
      <w:r w:rsidRPr="002B40E7">
        <w:rPr>
          <w:sz w:val="16"/>
          <w:szCs w:val="16"/>
        </w:rPr>
        <w:t xml:space="preserve"> 15 juni 2000, C-418/97 en C-419/97, ECLI:EU:C:2000:318, </w:t>
      </w:r>
      <w:proofErr w:type="spellStart"/>
      <w:r w:rsidRPr="002B40E7">
        <w:rPr>
          <w:sz w:val="16"/>
          <w:szCs w:val="16"/>
        </w:rPr>
        <w:t>ovw</w:t>
      </w:r>
      <w:proofErr w:type="spellEnd"/>
      <w:r w:rsidRPr="002B40E7">
        <w:rPr>
          <w:sz w:val="16"/>
          <w:szCs w:val="16"/>
        </w:rPr>
        <w:t xml:space="preserve"> 86-88), het arrest </w:t>
      </w:r>
      <w:proofErr w:type="spellStart"/>
      <w:r w:rsidRPr="002B40E7">
        <w:rPr>
          <w:b/>
          <w:bCs/>
          <w:sz w:val="16"/>
          <w:szCs w:val="16"/>
        </w:rPr>
        <w:t>Palin</w:t>
      </w:r>
      <w:proofErr w:type="spellEnd"/>
      <w:r w:rsidRPr="002B40E7">
        <w:rPr>
          <w:b/>
          <w:bCs/>
          <w:sz w:val="16"/>
          <w:szCs w:val="16"/>
        </w:rPr>
        <w:t xml:space="preserve"> </w:t>
      </w:r>
      <w:proofErr w:type="spellStart"/>
      <w:r w:rsidRPr="002B40E7">
        <w:rPr>
          <w:b/>
          <w:bCs/>
          <w:sz w:val="16"/>
          <w:szCs w:val="16"/>
        </w:rPr>
        <w:t>Granit</w:t>
      </w:r>
      <w:proofErr w:type="spellEnd"/>
      <w:r w:rsidRPr="002B40E7">
        <w:rPr>
          <w:sz w:val="16"/>
          <w:szCs w:val="16"/>
        </w:rPr>
        <w:t xml:space="preserve"> (</w:t>
      </w:r>
      <w:proofErr w:type="spellStart"/>
      <w:r w:rsidRPr="002B40E7">
        <w:rPr>
          <w:sz w:val="16"/>
          <w:szCs w:val="16"/>
        </w:rPr>
        <w:t>HvJ</w:t>
      </w:r>
      <w:proofErr w:type="spellEnd"/>
      <w:r w:rsidRPr="002B40E7">
        <w:rPr>
          <w:sz w:val="16"/>
          <w:szCs w:val="16"/>
        </w:rPr>
        <w:t xml:space="preserve"> 18 april 2002, C-9/00, ECLI:EU:C:2002:232, </w:t>
      </w:r>
      <w:proofErr w:type="spellStart"/>
      <w:r w:rsidRPr="002B40E7">
        <w:rPr>
          <w:sz w:val="16"/>
          <w:szCs w:val="16"/>
        </w:rPr>
        <w:t>ovw</w:t>
      </w:r>
      <w:proofErr w:type="spellEnd"/>
      <w:r w:rsidRPr="002B40E7">
        <w:rPr>
          <w:sz w:val="16"/>
          <w:szCs w:val="16"/>
        </w:rPr>
        <w:t xml:space="preserve"> 43-45), het arrest</w:t>
      </w:r>
      <w:r w:rsidRPr="002B40E7">
        <w:rPr>
          <w:b/>
          <w:bCs/>
          <w:sz w:val="16"/>
          <w:szCs w:val="16"/>
        </w:rPr>
        <w:t xml:space="preserve"> Shell</w:t>
      </w:r>
      <w:r w:rsidRPr="002B40E7">
        <w:rPr>
          <w:sz w:val="16"/>
          <w:szCs w:val="16"/>
        </w:rPr>
        <w:t xml:space="preserve"> (</w:t>
      </w:r>
      <w:proofErr w:type="spellStart"/>
      <w:r w:rsidRPr="002B40E7">
        <w:rPr>
          <w:sz w:val="16"/>
          <w:szCs w:val="16"/>
        </w:rPr>
        <w:t>HvJ</w:t>
      </w:r>
      <w:proofErr w:type="spellEnd"/>
      <w:r w:rsidRPr="002B40E7">
        <w:rPr>
          <w:sz w:val="16"/>
          <w:szCs w:val="16"/>
        </w:rPr>
        <w:t xml:space="preserve"> 12 december 2013, C-241/12 en C-242/12, ECLI:EU:C:2013:821, 27, 44-45), uitspraak</w:t>
      </w:r>
      <w:r w:rsidRPr="002B40E7">
        <w:rPr>
          <w:b/>
          <w:bCs/>
          <w:sz w:val="16"/>
          <w:szCs w:val="16"/>
        </w:rPr>
        <w:t xml:space="preserve"> North </w:t>
      </w:r>
      <w:proofErr w:type="spellStart"/>
      <w:r w:rsidRPr="002B40E7">
        <w:rPr>
          <w:b/>
          <w:bCs/>
          <w:sz w:val="16"/>
          <w:szCs w:val="16"/>
        </w:rPr>
        <w:t>Refinery</w:t>
      </w:r>
      <w:proofErr w:type="spellEnd"/>
      <w:r w:rsidRPr="002B40E7">
        <w:rPr>
          <w:sz w:val="16"/>
          <w:szCs w:val="16"/>
        </w:rPr>
        <w:t xml:space="preserve"> (</w:t>
      </w:r>
      <w:proofErr w:type="spellStart"/>
      <w:r w:rsidRPr="002B40E7">
        <w:rPr>
          <w:sz w:val="16"/>
          <w:szCs w:val="16"/>
        </w:rPr>
        <w:t>ABRvS</w:t>
      </w:r>
      <w:proofErr w:type="spellEnd"/>
      <w:r w:rsidRPr="002B40E7">
        <w:rPr>
          <w:sz w:val="16"/>
          <w:szCs w:val="16"/>
        </w:rPr>
        <w:t xml:space="preserve">, 19 november 2014, ECLI:NL:RVS:2014:4130, </w:t>
      </w:r>
      <w:proofErr w:type="spellStart"/>
      <w:r w:rsidRPr="002B40E7">
        <w:rPr>
          <w:sz w:val="16"/>
          <w:szCs w:val="16"/>
        </w:rPr>
        <w:t>ovw</w:t>
      </w:r>
      <w:proofErr w:type="spellEnd"/>
      <w:r w:rsidRPr="002B40E7">
        <w:rPr>
          <w:sz w:val="16"/>
          <w:szCs w:val="16"/>
        </w:rPr>
        <w:t xml:space="preserve"> 5.4-5.6) en de uitspraak </w:t>
      </w:r>
      <w:r w:rsidRPr="002B40E7">
        <w:rPr>
          <w:b/>
          <w:bCs/>
          <w:sz w:val="16"/>
          <w:szCs w:val="16"/>
        </w:rPr>
        <w:t>energiepellets</w:t>
      </w:r>
      <w:r w:rsidRPr="002B40E7">
        <w:rPr>
          <w:sz w:val="16"/>
          <w:szCs w:val="16"/>
        </w:rPr>
        <w:t xml:space="preserve"> (</w:t>
      </w:r>
      <w:proofErr w:type="spellStart"/>
      <w:r w:rsidRPr="002B40E7">
        <w:rPr>
          <w:sz w:val="16"/>
          <w:szCs w:val="16"/>
        </w:rPr>
        <w:t>ABRvS</w:t>
      </w:r>
      <w:proofErr w:type="spellEnd"/>
      <w:r w:rsidRPr="002B40E7">
        <w:rPr>
          <w:sz w:val="16"/>
          <w:szCs w:val="16"/>
        </w:rPr>
        <w:t xml:space="preserve"> 22 februari 2017, ECLI:NL:RVS:2017:483, </w:t>
      </w:r>
      <w:proofErr w:type="spellStart"/>
      <w:r w:rsidRPr="002B40E7">
        <w:rPr>
          <w:sz w:val="16"/>
          <w:szCs w:val="16"/>
        </w:rPr>
        <w:t>ovw</w:t>
      </w:r>
      <w:proofErr w:type="spellEnd"/>
      <w:r w:rsidRPr="002B40E7">
        <w:rPr>
          <w:sz w:val="16"/>
          <w:szCs w:val="16"/>
        </w:rPr>
        <w:t xml:space="preserve"> 5-6 en 7.2), het arrest</w:t>
      </w:r>
      <w:r w:rsidRPr="002B40E7">
        <w:rPr>
          <w:b/>
          <w:bCs/>
          <w:sz w:val="16"/>
          <w:szCs w:val="16"/>
        </w:rPr>
        <w:t xml:space="preserve"> TPS NOLO</w:t>
      </w:r>
      <w:r w:rsidRPr="002B40E7">
        <w:rPr>
          <w:sz w:val="16"/>
          <w:szCs w:val="16"/>
        </w:rPr>
        <w:t xml:space="preserve"> (</w:t>
      </w:r>
      <w:proofErr w:type="spellStart"/>
      <w:r w:rsidRPr="002B40E7">
        <w:rPr>
          <w:sz w:val="16"/>
          <w:szCs w:val="16"/>
        </w:rPr>
        <w:t>Geobal</w:t>
      </w:r>
      <w:proofErr w:type="spellEnd"/>
      <w:r w:rsidRPr="002B40E7">
        <w:rPr>
          <w:sz w:val="16"/>
          <w:szCs w:val="16"/>
        </w:rPr>
        <w:t>) (</w:t>
      </w:r>
      <w:proofErr w:type="spellStart"/>
      <w:r w:rsidRPr="002B40E7">
        <w:rPr>
          <w:sz w:val="16"/>
          <w:szCs w:val="16"/>
        </w:rPr>
        <w:t>HvJ</w:t>
      </w:r>
      <w:proofErr w:type="spellEnd"/>
      <w:r w:rsidRPr="002B40E7">
        <w:rPr>
          <w:sz w:val="16"/>
          <w:szCs w:val="16"/>
        </w:rPr>
        <w:t xml:space="preserve"> 14 maart 2019, C399/17, ECLI:EU:C:2019:200, </w:t>
      </w:r>
      <w:proofErr w:type="spellStart"/>
      <w:r w:rsidRPr="002B40E7">
        <w:rPr>
          <w:sz w:val="16"/>
          <w:szCs w:val="16"/>
        </w:rPr>
        <w:t>ovw</w:t>
      </w:r>
      <w:proofErr w:type="spellEnd"/>
      <w:r w:rsidRPr="002B40E7">
        <w:rPr>
          <w:sz w:val="16"/>
          <w:szCs w:val="16"/>
        </w:rPr>
        <w:t xml:space="preserve"> 32, 36 en 74) en het arrest </w:t>
      </w:r>
      <w:r w:rsidRPr="002B40E7">
        <w:rPr>
          <w:b/>
          <w:bCs/>
          <w:sz w:val="16"/>
          <w:szCs w:val="16"/>
        </w:rPr>
        <w:t>PVC Recycling I</w:t>
      </w:r>
      <w:r w:rsidRPr="002B40E7">
        <w:rPr>
          <w:sz w:val="16"/>
          <w:szCs w:val="16"/>
        </w:rPr>
        <w:t xml:space="preserve"> (</w:t>
      </w:r>
      <w:proofErr w:type="spellStart"/>
      <w:r w:rsidRPr="002B40E7">
        <w:rPr>
          <w:sz w:val="16"/>
          <w:szCs w:val="16"/>
        </w:rPr>
        <w:t>ABRvS</w:t>
      </w:r>
      <w:proofErr w:type="spellEnd"/>
      <w:r w:rsidRPr="002B40E7">
        <w:rPr>
          <w:sz w:val="16"/>
          <w:szCs w:val="16"/>
        </w:rPr>
        <w:t xml:space="preserve">, 4 december 2024, ECLI:NL:RVS:2024:4838, </w:t>
      </w:r>
      <w:proofErr w:type="spellStart"/>
      <w:r w:rsidRPr="002B40E7">
        <w:rPr>
          <w:sz w:val="16"/>
          <w:szCs w:val="16"/>
        </w:rPr>
        <w:t>ovw</w:t>
      </w:r>
      <w:proofErr w:type="spellEnd"/>
      <w:r w:rsidRPr="002B40E7">
        <w:rPr>
          <w:sz w:val="16"/>
          <w:szCs w:val="16"/>
        </w:rPr>
        <w:t xml:space="preserve"> </w:t>
      </w:r>
      <w:r>
        <w:rPr>
          <w:sz w:val="16"/>
          <w:szCs w:val="16"/>
        </w:rPr>
        <w:t>4.3</w:t>
      </w:r>
      <w:r w:rsidRPr="002B40E7">
        <w:rPr>
          <w:sz w:val="16"/>
          <w:szCs w:val="16"/>
        </w:rPr>
        <w:t>)</w:t>
      </w:r>
      <w:r w:rsidR="002949D3">
        <w:rPr>
          <w:sz w:val="16"/>
          <w:szCs w:val="16"/>
        </w:rPr>
        <w:t>.</w:t>
      </w:r>
    </w:p>
    <w:p w14:paraId="706BA3EE" w14:textId="77777777" w:rsidR="00A70A17" w:rsidRDefault="00A70A17" w:rsidP="00C011BD"/>
    <w:p w14:paraId="75DA421D" w14:textId="597F2DCE" w:rsidR="00F211FF" w:rsidRPr="002949D3" w:rsidRDefault="00F211FF" w:rsidP="002949D3">
      <w:pPr>
        <w:pStyle w:val="Lijstalinea"/>
        <w:numPr>
          <w:ilvl w:val="0"/>
          <w:numId w:val="38"/>
        </w:numPr>
        <w:rPr>
          <w:u w:val="single"/>
        </w:rPr>
      </w:pPr>
      <w:r w:rsidRPr="002949D3">
        <w:rPr>
          <w:u w:val="single"/>
        </w:rPr>
        <w:t>Toepassing</w:t>
      </w:r>
    </w:p>
    <w:p w14:paraId="64FBB3E2" w14:textId="6810FAED" w:rsidR="006F10EE" w:rsidRDefault="006F10EE" w:rsidP="00C011BD">
      <w:r w:rsidRPr="006F10EE">
        <w:t xml:space="preserve">Onder toepassing horen alle mechanische en chemische processen </w:t>
      </w:r>
      <w:r w:rsidR="00786BEF">
        <w:t xml:space="preserve">op en </w:t>
      </w:r>
      <w:r w:rsidRPr="006F10EE">
        <w:t>na het moment van toepassen inclusief het uiteindelijke gebruik.</w:t>
      </w:r>
    </w:p>
    <w:p w14:paraId="1BF59FBD" w14:textId="77777777" w:rsidR="006F10EE" w:rsidRPr="006F10EE" w:rsidRDefault="006F10EE" w:rsidP="00C011BD"/>
    <w:p w14:paraId="7160FDB0" w14:textId="699C233E" w:rsidR="00F211FF" w:rsidRDefault="00F211FF" w:rsidP="00F211FF">
      <w:pPr>
        <w:pStyle w:val="Lijstalinea"/>
        <w:numPr>
          <w:ilvl w:val="0"/>
          <w:numId w:val="34"/>
        </w:numPr>
      </w:pPr>
      <w:r>
        <w:t xml:space="preserve">Is de toepassing van het materiaal verschillend? Dan is er sprake van een nieuw geval dat apart zal moeten worden beoordeeld. </w:t>
      </w:r>
    </w:p>
    <w:p w14:paraId="335EDE19" w14:textId="350DBE5C" w:rsidR="00F211FF" w:rsidRDefault="00F211FF" w:rsidP="00F211FF">
      <w:pPr>
        <w:pStyle w:val="Lijstalinea"/>
        <w:numPr>
          <w:ilvl w:val="0"/>
          <w:numId w:val="34"/>
        </w:numPr>
      </w:pPr>
      <w:r>
        <w:t>Is de toepassing van het materiaal gelijk? Dan is er mogelijk sprake van hetzelfde geval, als ook aan de andere feiten en omstandigheden wordt voldaan.</w:t>
      </w:r>
    </w:p>
    <w:p w14:paraId="670857BE" w14:textId="77777777" w:rsidR="00F211FF" w:rsidRDefault="00F211FF" w:rsidP="00C011BD"/>
    <w:p w14:paraId="0B611B8B" w14:textId="524FDB5D" w:rsidR="002949D3" w:rsidRPr="004B4DCC" w:rsidRDefault="002949D3" w:rsidP="002949D3">
      <w:pPr>
        <w:rPr>
          <w:sz w:val="16"/>
          <w:szCs w:val="16"/>
        </w:rPr>
      </w:pPr>
      <w:r w:rsidRPr="002949D3">
        <w:rPr>
          <w:sz w:val="16"/>
          <w:szCs w:val="16"/>
        </w:rPr>
        <w:lastRenderedPageBreak/>
        <w:t xml:space="preserve">Dat de toepassing van belang is bij de ‘per geval’-beoordeling afvalstof of niet-afvalstof volgt onder andere uit de volgende jurisprudentie: het arrest </w:t>
      </w:r>
      <w:r w:rsidRPr="002949D3">
        <w:rPr>
          <w:b/>
          <w:bCs/>
          <w:sz w:val="16"/>
          <w:szCs w:val="16"/>
        </w:rPr>
        <w:t>ARCO Chemie Nederland</w:t>
      </w:r>
      <w:r w:rsidRPr="002949D3">
        <w:rPr>
          <w:sz w:val="16"/>
          <w:szCs w:val="16"/>
        </w:rPr>
        <w:t xml:space="preserve"> (</w:t>
      </w:r>
      <w:proofErr w:type="spellStart"/>
      <w:r w:rsidRPr="002949D3">
        <w:rPr>
          <w:sz w:val="16"/>
          <w:szCs w:val="16"/>
        </w:rPr>
        <w:t>HvJ</w:t>
      </w:r>
      <w:proofErr w:type="spellEnd"/>
      <w:r w:rsidRPr="002949D3">
        <w:rPr>
          <w:sz w:val="16"/>
          <w:szCs w:val="16"/>
        </w:rPr>
        <w:t xml:space="preserve"> 15 juni 2000, C-418/97 en C-419/97, ECLI:EU:C:2000:318, </w:t>
      </w:r>
      <w:proofErr w:type="spellStart"/>
      <w:r w:rsidRPr="002949D3">
        <w:rPr>
          <w:sz w:val="16"/>
          <w:szCs w:val="16"/>
        </w:rPr>
        <w:t>ovw</w:t>
      </w:r>
      <w:proofErr w:type="spellEnd"/>
      <w:r w:rsidRPr="002949D3">
        <w:rPr>
          <w:sz w:val="16"/>
          <w:szCs w:val="16"/>
        </w:rPr>
        <w:t xml:space="preserve"> 95-97), uitspraak</w:t>
      </w:r>
      <w:r w:rsidRPr="002949D3">
        <w:rPr>
          <w:b/>
          <w:bCs/>
          <w:sz w:val="16"/>
          <w:szCs w:val="16"/>
        </w:rPr>
        <w:t xml:space="preserve"> North </w:t>
      </w:r>
      <w:proofErr w:type="spellStart"/>
      <w:r w:rsidRPr="002949D3">
        <w:rPr>
          <w:b/>
          <w:bCs/>
          <w:sz w:val="16"/>
          <w:szCs w:val="16"/>
        </w:rPr>
        <w:t>Refinery</w:t>
      </w:r>
      <w:proofErr w:type="spellEnd"/>
      <w:r w:rsidRPr="002949D3">
        <w:rPr>
          <w:sz w:val="16"/>
          <w:szCs w:val="16"/>
        </w:rPr>
        <w:t xml:space="preserve"> (</w:t>
      </w:r>
      <w:proofErr w:type="spellStart"/>
      <w:r w:rsidRPr="002949D3">
        <w:rPr>
          <w:sz w:val="16"/>
          <w:szCs w:val="16"/>
        </w:rPr>
        <w:t>ABRvS</w:t>
      </w:r>
      <w:proofErr w:type="spellEnd"/>
      <w:r w:rsidRPr="002949D3">
        <w:rPr>
          <w:sz w:val="16"/>
          <w:szCs w:val="16"/>
        </w:rPr>
        <w:t xml:space="preserve">, 19 november 2014, ECLI:NL:RVS:2014:4130, </w:t>
      </w:r>
      <w:proofErr w:type="spellStart"/>
      <w:r w:rsidRPr="002949D3">
        <w:rPr>
          <w:sz w:val="16"/>
          <w:szCs w:val="16"/>
        </w:rPr>
        <w:t>ovw</w:t>
      </w:r>
      <w:proofErr w:type="spellEnd"/>
      <w:r w:rsidRPr="002949D3">
        <w:rPr>
          <w:sz w:val="16"/>
          <w:szCs w:val="16"/>
        </w:rPr>
        <w:t xml:space="preserve"> 5 en 5.6)</w:t>
      </w:r>
      <w:r>
        <w:rPr>
          <w:sz w:val="16"/>
          <w:szCs w:val="16"/>
        </w:rPr>
        <w:t>,</w:t>
      </w:r>
      <w:r w:rsidRPr="002949D3">
        <w:rPr>
          <w:sz w:val="16"/>
          <w:szCs w:val="16"/>
        </w:rPr>
        <w:t xml:space="preserve"> de uitspraak </w:t>
      </w:r>
      <w:r w:rsidRPr="002949D3">
        <w:rPr>
          <w:b/>
          <w:bCs/>
          <w:sz w:val="16"/>
          <w:szCs w:val="16"/>
        </w:rPr>
        <w:t>Obsidiaan</w:t>
      </w:r>
      <w:r w:rsidRPr="002949D3">
        <w:rPr>
          <w:sz w:val="16"/>
          <w:szCs w:val="16"/>
        </w:rPr>
        <w:t xml:space="preserve"> (</w:t>
      </w:r>
      <w:proofErr w:type="spellStart"/>
      <w:r w:rsidRPr="002949D3">
        <w:rPr>
          <w:sz w:val="16"/>
          <w:szCs w:val="16"/>
        </w:rPr>
        <w:t>ABRvS</w:t>
      </w:r>
      <w:proofErr w:type="spellEnd"/>
      <w:r w:rsidRPr="002949D3">
        <w:rPr>
          <w:sz w:val="16"/>
          <w:szCs w:val="16"/>
        </w:rPr>
        <w:t xml:space="preserve"> 20 april 2016, ECLI:NL:RVS:2016:1065, </w:t>
      </w:r>
      <w:proofErr w:type="spellStart"/>
      <w:r w:rsidRPr="002949D3">
        <w:rPr>
          <w:sz w:val="16"/>
          <w:szCs w:val="16"/>
        </w:rPr>
        <w:t>ove</w:t>
      </w:r>
      <w:proofErr w:type="spellEnd"/>
      <w:r w:rsidRPr="002949D3">
        <w:rPr>
          <w:sz w:val="16"/>
          <w:szCs w:val="16"/>
        </w:rPr>
        <w:t xml:space="preserve"> 9.1)</w:t>
      </w:r>
      <w:r>
        <w:rPr>
          <w:sz w:val="16"/>
          <w:szCs w:val="16"/>
        </w:rPr>
        <w:t xml:space="preserve"> </w:t>
      </w:r>
      <w:r w:rsidRPr="002B40E7">
        <w:rPr>
          <w:sz w:val="16"/>
          <w:szCs w:val="16"/>
        </w:rPr>
        <w:t xml:space="preserve">en het arrest </w:t>
      </w:r>
      <w:r w:rsidRPr="002B40E7">
        <w:rPr>
          <w:b/>
          <w:bCs/>
          <w:sz w:val="16"/>
          <w:szCs w:val="16"/>
        </w:rPr>
        <w:t>PVC Recycling I</w:t>
      </w:r>
      <w:r w:rsidRPr="002B40E7">
        <w:rPr>
          <w:sz w:val="16"/>
          <w:szCs w:val="16"/>
        </w:rPr>
        <w:t xml:space="preserve"> (</w:t>
      </w:r>
      <w:proofErr w:type="spellStart"/>
      <w:r w:rsidRPr="002B40E7">
        <w:rPr>
          <w:sz w:val="16"/>
          <w:szCs w:val="16"/>
        </w:rPr>
        <w:t>ABRvS</w:t>
      </w:r>
      <w:proofErr w:type="spellEnd"/>
      <w:r w:rsidRPr="002B40E7">
        <w:rPr>
          <w:sz w:val="16"/>
          <w:szCs w:val="16"/>
        </w:rPr>
        <w:t xml:space="preserve">, 4 december 2024, ECLI:NL:RVS:2024:4838, </w:t>
      </w:r>
      <w:proofErr w:type="spellStart"/>
      <w:r w:rsidRPr="002B40E7">
        <w:rPr>
          <w:sz w:val="16"/>
          <w:szCs w:val="16"/>
        </w:rPr>
        <w:t>ovw</w:t>
      </w:r>
      <w:proofErr w:type="spellEnd"/>
      <w:r w:rsidRPr="002B40E7">
        <w:rPr>
          <w:sz w:val="16"/>
          <w:szCs w:val="16"/>
        </w:rPr>
        <w:t xml:space="preserve"> </w:t>
      </w:r>
      <w:r>
        <w:rPr>
          <w:sz w:val="16"/>
          <w:szCs w:val="16"/>
        </w:rPr>
        <w:t>4.3</w:t>
      </w:r>
      <w:r w:rsidRPr="002B40E7">
        <w:rPr>
          <w:sz w:val="16"/>
          <w:szCs w:val="16"/>
        </w:rPr>
        <w:t>)</w:t>
      </w:r>
      <w:r>
        <w:rPr>
          <w:sz w:val="16"/>
          <w:szCs w:val="16"/>
        </w:rPr>
        <w:t xml:space="preserve">. </w:t>
      </w:r>
    </w:p>
    <w:p w14:paraId="347EA4AD" w14:textId="77777777" w:rsidR="00A70A17" w:rsidRDefault="00A70A17" w:rsidP="00C011BD">
      <w:pPr>
        <w:rPr>
          <w:u w:val="single"/>
        </w:rPr>
      </w:pPr>
    </w:p>
    <w:p w14:paraId="22D8DE84" w14:textId="43256EE0" w:rsidR="002C278B" w:rsidRPr="002949D3" w:rsidRDefault="00F211FF" w:rsidP="002949D3">
      <w:pPr>
        <w:pStyle w:val="Lijstalinea"/>
        <w:numPr>
          <w:ilvl w:val="0"/>
          <w:numId w:val="38"/>
        </w:numPr>
        <w:rPr>
          <w:u w:val="single"/>
        </w:rPr>
      </w:pPr>
      <w:r w:rsidRPr="002949D3">
        <w:rPr>
          <w:u w:val="single"/>
        </w:rPr>
        <w:t>Moment van toetsen in de keten</w:t>
      </w:r>
    </w:p>
    <w:p w14:paraId="53FA4541" w14:textId="439F8CC1" w:rsidR="0006256E" w:rsidRDefault="0006256E" w:rsidP="00C011BD">
      <w:r w:rsidRPr="0006256E">
        <w:t>Dit is de specifieke fase waarin de beoordeling plaatsvindt, om te beoordelen of er sprake is van een afvalstof of niet-afvalstof.</w:t>
      </w:r>
    </w:p>
    <w:p w14:paraId="05E620AB" w14:textId="77777777" w:rsidR="0006256E" w:rsidRPr="0006256E" w:rsidRDefault="0006256E" w:rsidP="00C011BD"/>
    <w:p w14:paraId="02C480E7" w14:textId="5D2A2D56" w:rsidR="00F211FF" w:rsidRDefault="00F211FF" w:rsidP="00F211FF">
      <w:pPr>
        <w:pStyle w:val="Lijstalinea"/>
        <w:numPr>
          <w:ilvl w:val="0"/>
          <w:numId w:val="34"/>
        </w:numPr>
      </w:pPr>
      <w:r>
        <w:t>Is het m</w:t>
      </w:r>
      <w:r w:rsidRPr="00F211FF">
        <w:t xml:space="preserve">oment van toetsen in de keten </w:t>
      </w:r>
      <w:r>
        <w:t xml:space="preserve">verschillend? Dan is er sprake van een nieuw geval dat apart zal moeten worden beoordeeld. </w:t>
      </w:r>
    </w:p>
    <w:p w14:paraId="4791D284" w14:textId="531BA95D" w:rsidR="00F211FF" w:rsidRDefault="00F211FF" w:rsidP="00F211FF">
      <w:pPr>
        <w:pStyle w:val="Lijstalinea"/>
        <w:numPr>
          <w:ilvl w:val="0"/>
          <w:numId w:val="34"/>
        </w:numPr>
      </w:pPr>
      <w:r>
        <w:t xml:space="preserve">Is het </w:t>
      </w:r>
      <w:r w:rsidRPr="00F211FF">
        <w:t>moment van toetsen in de keten</w:t>
      </w:r>
      <w:r>
        <w:t xml:space="preserve"> gelijk? Dan is er mogelijk sprake van hetzelfde geval, als ook aan de andere feiten en omstandigheden wordt voldaan.</w:t>
      </w:r>
    </w:p>
    <w:p w14:paraId="0ED0C881" w14:textId="77777777" w:rsidR="00C011BD" w:rsidRDefault="00C011BD" w:rsidP="00C011BD"/>
    <w:p w14:paraId="088531D5" w14:textId="6F0BB8D5" w:rsidR="002949D3" w:rsidRPr="002949D3" w:rsidRDefault="002949D3" w:rsidP="002949D3">
      <w:pPr>
        <w:rPr>
          <w:sz w:val="16"/>
          <w:szCs w:val="16"/>
        </w:rPr>
      </w:pPr>
      <w:bookmarkStart w:id="4" w:name="_Hlk189046124"/>
      <w:r w:rsidRPr="002949D3">
        <w:rPr>
          <w:sz w:val="16"/>
          <w:szCs w:val="16"/>
        </w:rPr>
        <w:t xml:space="preserve">Dat het moment van toetsen van belang is bij de ‘per geval’-beoordeling afvalstof of niet-afvalstof volgt onder andere het arrest </w:t>
      </w:r>
      <w:r w:rsidRPr="002949D3">
        <w:rPr>
          <w:b/>
          <w:bCs/>
          <w:sz w:val="16"/>
          <w:szCs w:val="16"/>
        </w:rPr>
        <w:t>ARCO Chemie Nederland</w:t>
      </w:r>
      <w:r w:rsidRPr="002949D3">
        <w:rPr>
          <w:sz w:val="16"/>
          <w:szCs w:val="16"/>
        </w:rPr>
        <w:t xml:space="preserve"> (</w:t>
      </w:r>
      <w:proofErr w:type="spellStart"/>
      <w:r w:rsidRPr="002949D3">
        <w:rPr>
          <w:sz w:val="16"/>
          <w:szCs w:val="16"/>
        </w:rPr>
        <w:t>HvJ</w:t>
      </w:r>
      <w:proofErr w:type="spellEnd"/>
      <w:r w:rsidRPr="002949D3">
        <w:rPr>
          <w:sz w:val="16"/>
          <w:szCs w:val="16"/>
        </w:rPr>
        <w:t xml:space="preserve"> 15 juni 2000, C-418/97 en C-419/97, ECLI:EU:C:2000:318 97), het arrest</w:t>
      </w:r>
      <w:r w:rsidRPr="002949D3">
        <w:rPr>
          <w:b/>
          <w:bCs/>
          <w:sz w:val="16"/>
          <w:szCs w:val="16"/>
        </w:rPr>
        <w:t xml:space="preserve"> TPS NOLO</w:t>
      </w:r>
      <w:r w:rsidRPr="002949D3">
        <w:rPr>
          <w:sz w:val="16"/>
          <w:szCs w:val="16"/>
        </w:rPr>
        <w:t xml:space="preserve"> (</w:t>
      </w:r>
      <w:proofErr w:type="spellStart"/>
      <w:r w:rsidRPr="002949D3">
        <w:rPr>
          <w:sz w:val="16"/>
          <w:szCs w:val="16"/>
        </w:rPr>
        <w:t>Geobal</w:t>
      </w:r>
      <w:proofErr w:type="spellEnd"/>
      <w:r w:rsidRPr="002949D3">
        <w:rPr>
          <w:sz w:val="16"/>
          <w:szCs w:val="16"/>
        </w:rPr>
        <w:t>) (</w:t>
      </w:r>
      <w:proofErr w:type="spellStart"/>
      <w:r w:rsidRPr="002949D3">
        <w:rPr>
          <w:sz w:val="16"/>
          <w:szCs w:val="16"/>
        </w:rPr>
        <w:t>HvJ</w:t>
      </w:r>
      <w:proofErr w:type="spellEnd"/>
      <w:r w:rsidRPr="002949D3">
        <w:rPr>
          <w:sz w:val="16"/>
          <w:szCs w:val="16"/>
        </w:rPr>
        <w:t xml:space="preserve"> 14 maart 2019, C399/17, ECLI:EU:C:2019:200, </w:t>
      </w:r>
      <w:proofErr w:type="spellStart"/>
      <w:r w:rsidRPr="002949D3">
        <w:rPr>
          <w:sz w:val="16"/>
          <w:szCs w:val="16"/>
        </w:rPr>
        <w:t>owv</w:t>
      </w:r>
      <w:proofErr w:type="spellEnd"/>
      <w:r w:rsidRPr="002949D3">
        <w:rPr>
          <w:sz w:val="16"/>
          <w:szCs w:val="16"/>
        </w:rPr>
        <w:t xml:space="preserve"> 61)</w:t>
      </w:r>
      <w:r>
        <w:rPr>
          <w:sz w:val="16"/>
          <w:szCs w:val="16"/>
        </w:rPr>
        <w:t xml:space="preserve"> en de </w:t>
      </w:r>
      <w:r w:rsidRPr="002949D3">
        <w:rPr>
          <w:sz w:val="16"/>
          <w:szCs w:val="16"/>
        </w:rPr>
        <w:t>uitspraak duwbak afval (</w:t>
      </w:r>
      <w:proofErr w:type="spellStart"/>
      <w:r w:rsidRPr="002949D3">
        <w:rPr>
          <w:sz w:val="16"/>
          <w:szCs w:val="16"/>
        </w:rPr>
        <w:t>ABRvS</w:t>
      </w:r>
      <w:proofErr w:type="spellEnd"/>
      <w:r w:rsidRPr="002949D3">
        <w:rPr>
          <w:sz w:val="16"/>
          <w:szCs w:val="16"/>
        </w:rPr>
        <w:t xml:space="preserve"> 19 februari 2020, ECLI:</w:t>
      </w:r>
      <w:proofErr w:type="gramStart"/>
      <w:r w:rsidRPr="002949D3">
        <w:rPr>
          <w:sz w:val="16"/>
          <w:szCs w:val="16"/>
        </w:rPr>
        <w:t>NL:RVS</w:t>
      </w:r>
      <w:proofErr w:type="gramEnd"/>
      <w:r w:rsidRPr="002949D3">
        <w:rPr>
          <w:sz w:val="16"/>
          <w:szCs w:val="16"/>
        </w:rPr>
        <w:t xml:space="preserve">:2020:500, </w:t>
      </w:r>
      <w:proofErr w:type="spellStart"/>
      <w:r w:rsidRPr="002949D3">
        <w:rPr>
          <w:sz w:val="16"/>
          <w:szCs w:val="16"/>
        </w:rPr>
        <w:t>ovw</w:t>
      </w:r>
      <w:proofErr w:type="spellEnd"/>
      <w:r w:rsidRPr="002949D3">
        <w:rPr>
          <w:sz w:val="16"/>
          <w:szCs w:val="16"/>
        </w:rPr>
        <w:t xml:space="preserve"> 3.6 en 3.7)</w:t>
      </w:r>
      <w:r>
        <w:rPr>
          <w:sz w:val="16"/>
          <w:szCs w:val="16"/>
        </w:rPr>
        <w:t>.</w:t>
      </w:r>
    </w:p>
    <w:p w14:paraId="42F1F87D" w14:textId="77777777" w:rsidR="00BB74E3" w:rsidRDefault="00BB74E3" w:rsidP="00A80882">
      <w:pPr>
        <w:ind w:left="227" w:hanging="227"/>
        <w:rPr>
          <w:u w:val="single"/>
        </w:rPr>
      </w:pPr>
    </w:p>
    <w:p w14:paraId="78D5038D" w14:textId="522B14C8" w:rsidR="00A80882" w:rsidRPr="002949D3" w:rsidRDefault="00A80882" w:rsidP="002949D3">
      <w:pPr>
        <w:pStyle w:val="Lijstalinea"/>
        <w:numPr>
          <w:ilvl w:val="0"/>
          <w:numId w:val="38"/>
        </w:numPr>
        <w:rPr>
          <w:u w:val="single"/>
        </w:rPr>
      </w:pPr>
      <w:r w:rsidRPr="002949D3">
        <w:rPr>
          <w:u w:val="single"/>
        </w:rPr>
        <w:t>Gewijzigde wetgeving</w:t>
      </w:r>
      <w:r w:rsidR="00D01321" w:rsidRPr="002949D3">
        <w:rPr>
          <w:u w:val="single"/>
        </w:rPr>
        <w:t>,</w:t>
      </w:r>
      <w:r w:rsidR="005954B9" w:rsidRPr="002949D3">
        <w:rPr>
          <w:u w:val="single"/>
        </w:rPr>
        <w:t xml:space="preserve"> beleid</w:t>
      </w:r>
      <w:r w:rsidR="00D01321" w:rsidRPr="002949D3">
        <w:rPr>
          <w:u w:val="single"/>
        </w:rPr>
        <w:t xml:space="preserve"> en private normen</w:t>
      </w:r>
      <w:bookmarkEnd w:id="4"/>
      <w:r w:rsidR="005954B9" w:rsidRPr="002949D3">
        <w:rPr>
          <w:u w:val="single"/>
        </w:rPr>
        <w:t xml:space="preserve"> </w:t>
      </w:r>
    </w:p>
    <w:p w14:paraId="40E5486B" w14:textId="36CAD815" w:rsidR="00A80882" w:rsidRDefault="00A80882" w:rsidP="00A80882">
      <w:pPr>
        <w:pStyle w:val="Lijstalinea"/>
        <w:numPr>
          <w:ilvl w:val="0"/>
          <w:numId w:val="34"/>
        </w:numPr>
      </w:pPr>
      <w:r>
        <w:t xml:space="preserve">Is </w:t>
      </w:r>
      <w:r w:rsidR="004E313E">
        <w:t xml:space="preserve">de van toepassing zijnde wetgeving </w:t>
      </w:r>
      <w:r w:rsidR="005954B9">
        <w:t xml:space="preserve">en/of beleid </w:t>
      </w:r>
      <w:r w:rsidR="00D01321">
        <w:t xml:space="preserve">en/of private normen </w:t>
      </w:r>
      <w:r w:rsidR="004E313E">
        <w:t>gewijzigd</w:t>
      </w:r>
      <w:r>
        <w:t xml:space="preserve">? Dan is er sprake van een nieuw geval dat apart zal moeten worden beoordeeld. </w:t>
      </w:r>
    </w:p>
    <w:p w14:paraId="3717FC53" w14:textId="6DE30D87" w:rsidR="00A80882" w:rsidRDefault="00A80882" w:rsidP="00A80882">
      <w:pPr>
        <w:pStyle w:val="Lijstalinea"/>
        <w:numPr>
          <w:ilvl w:val="0"/>
          <w:numId w:val="34"/>
        </w:numPr>
      </w:pPr>
      <w:r>
        <w:t xml:space="preserve">Is </w:t>
      </w:r>
      <w:r w:rsidR="004E313E" w:rsidRPr="004E313E">
        <w:t>de van toepassing zijnde wetgeving</w:t>
      </w:r>
      <w:r w:rsidR="00D01321">
        <w:t>,</w:t>
      </w:r>
      <w:r w:rsidR="005954B9">
        <w:t xml:space="preserve"> beleid</w:t>
      </w:r>
      <w:r w:rsidR="004E313E">
        <w:t xml:space="preserve"> </w:t>
      </w:r>
      <w:r w:rsidR="00D01321">
        <w:t xml:space="preserve">en private normen </w:t>
      </w:r>
      <w:r>
        <w:t>gelijk? Dan is er mogelijk sprake van hetzelfde geval, als ook aan de andere feiten en omstandigheden wordt voldaan.</w:t>
      </w:r>
    </w:p>
    <w:p w14:paraId="349EBEEB" w14:textId="77777777" w:rsidR="005954B9" w:rsidRDefault="005954B9" w:rsidP="005954B9"/>
    <w:p w14:paraId="09897C2F" w14:textId="58D7D900" w:rsidR="006F10EE" w:rsidRPr="002949D3" w:rsidRDefault="005954B9" w:rsidP="002949D3">
      <w:pPr>
        <w:pStyle w:val="Lijstalinea"/>
        <w:numPr>
          <w:ilvl w:val="0"/>
          <w:numId w:val="38"/>
        </w:numPr>
        <w:rPr>
          <w:u w:val="single"/>
        </w:rPr>
      </w:pPr>
      <w:r w:rsidRPr="002949D3">
        <w:rPr>
          <w:u w:val="single"/>
        </w:rPr>
        <w:t>Gewijzigde wetenschappelijke inzichten</w:t>
      </w:r>
    </w:p>
    <w:p w14:paraId="29CE62D1" w14:textId="42550B9D" w:rsidR="00765200" w:rsidRPr="00765200" w:rsidRDefault="00765200" w:rsidP="00765200">
      <w:r>
        <w:t xml:space="preserve">Een gewijzigd wetenschappelijk inzicht is een geleidelijk proces van bewijs, discussie en acceptatie binnen de wetenschappelijke gemeenschap. Eén publicatie is niet voldoende. </w:t>
      </w:r>
    </w:p>
    <w:p w14:paraId="657767EF" w14:textId="7A6DDCD4" w:rsidR="005954B9" w:rsidRPr="00A80882" w:rsidRDefault="005954B9" w:rsidP="005954B9">
      <w:pPr>
        <w:ind w:left="227" w:hanging="227"/>
        <w:rPr>
          <w:u w:val="single"/>
        </w:rPr>
      </w:pPr>
    </w:p>
    <w:p w14:paraId="30DB2181" w14:textId="0BC35E9D" w:rsidR="005954B9" w:rsidRDefault="005954B9" w:rsidP="005954B9">
      <w:pPr>
        <w:pStyle w:val="Lijstalinea"/>
        <w:numPr>
          <w:ilvl w:val="0"/>
          <w:numId w:val="34"/>
        </w:numPr>
      </w:pPr>
      <w:r>
        <w:t xml:space="preserve">Zijn de van toepassing zijnde wetenschappelijke inzichten gewijzigd? Dan is er sprake van een nieuw geval dat apart zal moeten worden beoordeeld. </w:t>
      </w:r>
    </w:p>
    <w:p w14:paraId="61A117FF" w14:textId="00F21F9F" w:rsidR="005954B9" w:rsidRDefault="005954B9" w:rsidP="005954B9">
      <w:pPr>
        <w:pStyle w:val="Lijstalinea"/>
        <w:numPr>
          <w:ilvl w:val="0"/>
          <w:numId w:val="34"/>
        </w:numPr>
      </w:pPr>
      <w:r>
        <w:t xml:space="preserve">Zijn </w:t>
      </w:r>
      <w:r w:rsidRPr="004E313E">
        <w:t>de van toepassing zijnde wetenschappelijke inzichten</w:t>
      </w:r>
      <w:r>
        <w:t xml:space="preserve"> gelijk? Dan is er mogelijk sprake van hetzelfde geval, als ook aan de andere feiten en omstandigheden wordt voldaan.</w:t>
      </w:r>
    </w:p>
    <w:p w14:paraId="0C7AFE38" w14:textId="77777777" w:rsidR="005954B9" w:rsidRDefault="005954B9" w:rsidP="005954B9"/>
    <w:p w14:paraId="6A920EFA" w14:textId="4298C797" w:rsidR="00E239C4" w:rsidRPr="002949D3" w:rsidRDefault="00E239C4" w:rsidP="002949D3">
      <w:pPr>
        <w:pStyle w:val="Lijstalinea"/>
        <w:numPr>
          <w:ilvl w:val="0"/>
          <w:numId w:val="38"/>
        </w:numPr>
        <w:rPr>
          <w:u w:val="single"/>
        </w:rPr>
      </w:pPr>
      <w:r w:rsidRPr="002949D3">
        <w:rPr>
          <w:u w:val="single"/>
        </w:rPr>
        <w:t>Gewijzigde marktomstandigheden</w:t>
      </w:r>
    </w:p>
    <w:p w14:paraId="17CF52C2" w14:textId="588372A9" w:rsidR="007B0EC9" w:rsidRDefault="00DD0BF5" w:rsidP="005954B9">
      <w:r w:rsidRPr="00DD0BF5">
        <w:t>Marktomstandigheden verwijzen naar de algemene omstandigheden die van invloed zijn op de vraag en het aanbod van goederen en diensten op de markt</w:t>
      </w:r>
      <w:r>
        <w:t>. Bij gewijzigde marktomstandigheden</w:t>
      </w:r>
      <w:r w:rsidR="007B0EC9" w:rsidRPr="007B0EC9">
        <w:t xml:space="preserve"> kan bijvoorbeeld gedacht worden aan het v</w:t>
      </w:r>
      <w:r w:rsidR="007B0EC9">
        <w:t>erdwijnen van een bestaande markt</w:t>
      </w:r>
      <w:r w:rsidR="008A16CD">
        <w:t>, of het verdwijnen van het economisch voordeel.</w:t>
      </w:r>
    </w:p>
    <w:p w14:paraId="47AB9BF0" w14:textId="77777777" w:rsidR="007B0EC9" w:rsidRPr="007B0EC9" w:rsidRDefault="007B0EC9" w:rsidP="005954B9"/>
    <w:p w14:paraId="0992AC41" w14:textId="5AEFC586" w:rsidR="00E239C4" w:rsidRDefault="00E239C4" w:rsidP="00E239C4">
      <w:pPr>
        <w:pStyle w:val="Lijstalinea"/>
        <w:numPr>
          <w:ilvl w:val="0"/>
          <w:numId w:val="34"/>
        </w:numPr>
      </w:pPr>
      <w:r>
        <w:t xml:space="preserve">Zijn de van toepassing zijnde </w:t>
      </w:r>
      <w:r w:rsidRPr="00E239C4">
        <w:t>marktomstandigheden</w:t>
      </w:r>
      <w:r>
        <w:t xml:space="preserve"> gewijzigd? Dan is er sprake van een nieuw geval dat apart zal moeten worden beoordeeld. </w:t>
      </w:r>
    </w:p>
    <w:p w14:paraId="5AE6FF85" w14:textId="698E828D" w:rsidR="00E239C4" w:rsidRDefault="00E239C4" w:rsidP="00E239C4">
      <w:pPr>
        <w:pStyle w:val="Lijstalinea"/>
        <w:numPr>
          <w:ilvl w:val="0"/>
          <w:numId w:val="34"/>
        </w:numPr>
      </w:pPr>
      <w:r>
        <w:t xml:space="preserve">Zijn </w:t>
      </w:r>
      <w:r w:rsidRPr="004E313E">
        <w:t xml:space="preserve">de van toepassing zijnde </w:t>
      </w:r>
      <w:r w:rsidRPr="00E239C4">
        <w:t xml:space="preserve">marktomstandigheden </w:t>
      </w:r>
      <w:r>
        <w:t>gelijk? Dan is er mogelijk sprake van hetzelfde geval, als ook aan de andere feiten en omstandigheden wordt voldaan.</w:t>
      </w:r>
    </w:p>
    <w:p w14:paraId="0ED13152" w14:textId="77777777" w:rsidR="00A80882" w:rsidRDefault="00A80882" w:rsidP="00C011BD"/>
    <w:p w14:paraId="499DCCF0" w14:textId="4A452F3D" w:rsidR="002949D3" w:rsidRPr="002949D3" w:rsidRDefault="002949D3" w:rsidP="002949D3">
      <w:pPr>
        <w:rPr>
          <w:sz w:val="16"/>
          <w:szCs w:val="16"/>
        </w:rPr>
      </w:pPr>
      <w:r w:rsidRPr="002949D3">
        <w:rPr>
          <w:sz w:val="16"/>
          <w:szCs w:val="16"/>
        </w:rPr>
        <w:t>Dat de marktomstandigheden van belang zijn bij de ‘per geval’-beoordeling afvalstof of niet-afvalstof volgt onder andere uit de volgende jurisprudentie: het arrest</w:t>
      </w:r>
      <w:r w:rsidRPr="002949D3">
        <w:rPr>
          <w:b/>
          <w:bCs/>
          <w:sz w:val="16"/>
          <w:szCs w:val="16"/>
        </w:rPr>
        <w:t xml:space="preserve"> </w:t>
      </w:r>
      <w:proofErr w:type="spellStart"/>
      <w:r w:rsidRPr="002949D3">
        <w:rPr>
          <w:b/>
          <w:bCs/>
          <w:sz w:val="16"/>
          <w:szCs w:val="16"/>
        </w:rPr>
        <w:t>Palin</w:t>
      </w:r>
      <w:proofErr w:type="spellEnd"/>
      <w:r w:rsidRPr="002949D3">
        <w:rPr>
          <w:b/>
          <w:bCs/>
          <w:sz w:val="16"/>
          <w:szCs w:val="16"/>
        </w:rPr>
        <w:t xml:space="preserve"> </w:t>
      </w:r>
      <w:proofErr w:type="spellStart"/>
      <w:r w:rsidRPr="002949D3">
        <w:rPr>
          <w:b/>
          <w:bCs/>
          <w:sz w:val="16"/>
          <w:szCs w:val="16"/>
        </w:rPr>
        <w:t>Granit</w:t>
      </w:r>
      <w:proofErr w:type="spellEnd"/>
      <w:r w:rsidRPr="002949D3">
        <w:rPr>
          <w:sz w:val="16"/>
          <w:szCs w:val="16"/>
        </w:rPr>
        <w:t xml:space="preserve"> (</w:t>
      </w:r>
      <w:proofErr w:type="spellStart"/>
      <w:r w:rsidRPr="002949D3">
        <w:rPr>
          <w:sz w:val="16"/>
          <w:szCs w:val="16"/>
        </w:rPr>
        <w:t>HvJ</w:t>
      </w:r>
      <w:proofErr w:type="spellEnd"/>
      <w:r w:rsidRPr="002949D3">
        <w:rPr>
          <w:sz w:val="16"/>
          <w:szCs w:val="16"/>
        </w:rPr>
        <w:t xml:space="preserve"> 18 april 2002, C-9/00, ECLI:EU:C:2002:232, </w:t>
      </w:r>
      <w:proofErr w:type="spellStart"/>
      <w:r w:rsidRPr="002949D3">
        <w:rPr>
          <w:sz w:val="16"/>
          <w:szCs w:val="16"/>
        </w:rPr>
        <w:t>ovw</w:t>
      </w:r>
      <w:proofErr w:type="spellEnd"/>
      <w:r w:rsidRPr="002949D3">
        <w:rPr>
          <w:sz w:val="16"/>
          <w:szCs w:val="16"/>
        </w:rPr>
        <w:t xml:space="preserve"> 37-39),</w:t>
      </w:r>
      <w:r>
        <w:rPr>
          <w:sz w:val="16"/>
          <w:szCs w:val="16"/>
        </w:rPr>
        <w:t xml:space="preserve"> </w:t>
      </w:r>
      <w:r w:rsidRPr="002949D3">
        <w:rPr>
          <w:sz w:val="16"/>
          <w:szCs w:val="16"/>
        </w:rPr>
        <w:t xml:space="preserve">het arrest </w:t>
      </w:r>
      <w:r w:rsidRPr="002949D3">
        <w:rPr>
          <w:b/>
          <w:bCs/>
          <w:sz w:val="16"/>
          <w:szCs w:val="16"/>
        </w:rPr>
        <w:t xml:space="preserve">Commune de </w:t>
      </w:r>
      <w:proofErr w:type="spellStart"/>
      <w:r w:rsidRPr="002949D3">
        <w:rPr>
          <w:b/>
          <w:bCs/>
          <w:sz w:val="16"/>
          <w:szCs w:val="16"/>
        </w:rPr>
        <w:t>Mesquer</w:t>
      </w:r>
      <w:proofErr w:type="spellEnd"/>
      <w:r w:rsidRPr="002949D3">
        <w:rPr>
          <w:sz w:val="16"/>
          <w:szCs w:val="16"/>
        </w:rPr>
        <w:t xml:space="preserve"> (</w:t>
      </w:r>
      <w:proofErr w:type="spellStart"/>
      <w:r w:rsidRPr="002949D3">
        <w:rPr>
          <w:sz w:val="16"/>
          <w:szCs w:val="16"/>
        </w:rPr>
        <w:t>HvJ</w:t>
      </w:r>
      <w:proofErr w:type="spellEnd"/>
      <w:r w:rsidRPr="002949D3">
        <w:rPr>
          <w:sz w:val="16"/>
          <w:szCs w:val="16"/>
        </w:rPr>
        <w:t xml:space="preserve"> 24 juni 2008, C-188/07, ECLI:EU:C:2008:359, </w:t>
      </w:r>
      <w:proofErr w:type="spellStart"/>
      <w:r w:rsidRPr="002949D3">
        <w:rPr>
          <w:sz w:val="16"/>
          <w:szCs w:val="16"/>
        </w:rPr>
        <w:t>ovw</w:t>
      </w:r>
      <w:proofErr w:type="spellEnd"/>
      <w:r w:rsidRPr="002949D3">
        <w:rPr>
          <w:sz w:val="16"/>
          <w:szCs w:val="16"/>
        </w:rPr>
        <w:t xml:space="preserve"> 45 en 47), uitspraak</w:t>
      </w:r>
      <w:r w:rsidRPr="002949D3">
        <w:rPr>
          <w:b/>
          <w:bCs/>
          <w:sz w:val="16"/>
          <w:szCs w:val="16"/>
        </w:rPr>
        <w:t xml:space="preserve"> North </w:t>
      </w:r>
      <w:proofErr w:type="spellStart"/>
      <w:r w:rsidRPr="002949D3">
        <w:rPr>
          <w:b/>
          <w:bCs/>
          <w:sz w:val="16"/>
          <w:szCs w:val="16"/>
        </w:rPr>
        <w:t>Refinery</w:t>
      </w:r>
      <w:proofErr w:type="spellEnd"/>
      <w:r w:rsidRPr="002949D3">
        <w:rPr>
          <w:sz w:val="16"/>
          <w:szCs w:val="16"/>
        </w:rPr>
        <w:t xml:space="preserve"> (</w:t>
      </w:r>
      <w:proofErr w:type="spellStart"/>
      <w:r w:rsidRPr="002949D3">
        <w:rPr>
          <w:sz w:val="16"/>
          <w:szCs w:val="16"/>
        </w:rPr>
        <w:t>ABRvS</w:t>
      </w:r>
      <w:proofErr w:type="spellEnd"/>
      <w:r w:rsidRPr="002949D3">
        <w:rPr>
          <w:sz w:val="16"/>
          <w:szCs w:val="16"/>
        </w:rPr>
        <w:t xml:space="preserve">, 19 november 2014, ECLI:NL:RVS:2014:4130, </w:t>
      </w:r>
      <w:proofErr w:type="spellStart"/>
      <w:r w:rsidRPr="002949D3">
        <w:rPr>
          <w:sz w:val="16"/>
          <w:szCs w:val="16"/>
        </w:rPr>
        <w:t>ovw</w:t>
      </w:r>
      <w:proofErr w:type="spellEnd"/>
      <w:r w:rsidRPr="002949D3">
        <w:rPr>
          <w:sz w:val="16"/>
          <w:szCs w:val="16"/>
        </w:rPr>
        <w:t xml:space="preserve"> 5 en 5.6)</w:t>
      </w:r>
      <w:r>
        <w:rPr>
          <w:sz w:val="16"/>
          <w:szCs w:val="16"/>
        </w:rPr>
        <w:t xml:space="preserve">, </w:t>
      </w:r>
      <w:r w:rsidRPr="002949D3">
        <w:rPr>
          <w:sz w:val="16"/>
          <w:szCs w:val="16"/>
        </w:rPr>
        <w:t xml:space="preserve">de uitspraak </w:t>
      </w:r>
      <w:r w:rsidRPr="002949D3">
        <w:rPr>
          <w:b/>
          <w:bCs/>
          <w:sz w:val="16"/>
          <w:szCs w:val="16"/>
        </w:rPr>
        <w:t>Obsidiaan</w:t>
      </w:r>
      <w:r w:rsidRPr="002949D3">
        <w:rPr>
          <w:sz w:val="16"/>
          <w:szCs w:val="16"/>
        </w:rPr>
        <w:t>-zaak (</w:t>
      </w:r>
      <w:proofErr w:type="spellStart"/>
      <w:r w:rsidRPr="002949D3">
        <w:rPr>
          <w:sz w:val="16"/>
          <w:szCs w:val="16"/>
        </w:rPr>
        <w:t>ABRvS</w:t>
      </w:r>
      <w:proofErr w:type="spellEnd"/>
      <w:r w:rsidRPr="002949D3">
        <w:rPr>
          <w:sz w:val="16"/>
          <w:szCs w:val="16"/>
        </w:rPr>
        <w:t xml:space="preserve"> 20 april 2016, ECLI:NL:RVS:2016:1065, </w:t>
      </w:r>
      <w:proofErr w:type="spellStart"/>
      <w:r w:rsidRPr="002949D3">
        <w:rPr>
          <w:sz w:val="16"/>
          <w:szCs w:val="16"/>
        </w:rPr>
        <w:t>ovw</w:t>
      </w:r>
      <w:proofErr w:type="spellEnd"/>
      <w:r w:rsidRPr="002949D3">
        <w:rPr>
          <w:sz w:val="16"/>
          <w:szCs w:val="16"/>
        </w:rPr>
        <w:t xml:space="preserve"> 9.1) en de uitspraak</w:t>
      </w:r>
      <w:r w:rsidRPr="002949D3">
        <w:rPr>
          <w:b/>
          <w:bCs/>
          <w:sz w:val="16"/>
          <w:szCs w:val="16"/>
        </w:rPr>
        <w:t xml:space="preserve"> </w:t>
      </w:r>
      <w:proofErr w:type="spellStart"/>
      <w:r w:rsidRPr="002949D3">
        <w:rPr>
          <w:b/>
          <w:bCs/>
          <w:sz w:val="16"/>
          <w:szCs w:val="16"/>
        </w:rPr>
        <w:t>Sunoil</w:t>
      </w:r>
      <w:proofErr w:type="spellEnd"/>
      <w:r w:rsidRPr="002949D3">
        <w:rPr>
          <w:sz w:val="16"/>
          <w:szCs w:val="16"/>
        </w:rPr>
        <w:t xml:space="preserve"> (</w:t>
      </w:r>
      <w:proofErr w:type="spellStart"/>
      <w:r w:rsidRPr="002949D3">
        <w:rPr>
          <w:sz w:val="16"/>
          <w:szCs w:val="16"/>
        </w:rPr>
        <w:t>ABRvS</w:t>
      </w:r>
      <w:proofErr w:type="spellEnd"/>
      <w:r w:rsidRPr="002949D3">
        <w:rPr>
          <w:sz w:val="16"/>
          <w:szCs w:val="16"/>
        </w:rPr>
        <w:t xml:space="preserve"> 3 oktober 2018, ECLI:NL:RVS:2018:3219, </w:t>
      </w:r>
      <w:proofErr w:type="spellStart"/>
      <w:r w:rsidRPr="002949D3">
        <w:rPr>
          <w:sz w:val="16"/>
          <w:szCs w:val="16"/>
        </w:rPr>
        <w:t>ovw</w:t>
      </w:r>
      <w:proofErr w:type="spellEnd"/>
      <w:r w:rsidRPr="002949D3">
        <w:rPr>
          <w:sz w:val="16"/>
          <w:szCs w:val="16"/>
        </w:rPr>
        <w:t xml:space="preserve"> 7- 7.3).</w:t>
      </w:r>
    </w:p>
    <w:p w14:paraId="7A975234" w14:textId="77777777" w:rsidR="00BB74E3" w:rsidRDefault="00BB74E3" w:rsidP="00C011BD"/>
    <w:p w14:paraId="623D7DE4" w14:textId="0D2F3C02" w:rsidR="00F211FF" w:rsidRPr="00F211FF" w:rsidRDefault="00F211FF" w:rsidP="00F211FF">
      <w:pPr>
        <w:rPr>
          <w:b/>
          <w:bCs/>
        </w:rPr>
      </w:pPr>
      <w:r w:rsidRPr="00F211FF">
        <w:rPr>
          <w:b/>
          <w:bCs/>
        </w:rPr>
        <w:t>Conclusie</w:t>
      </w:r>
    </w:p>
    <w:p w14:paraId="720311D5" w14:textId="64FEE8F6" w:rsidR="00EF7F93" w:rsidRDefault="00F211FF" w:rsidP="00F211FF">
      <w:r>
        <w:t>Als er bij een beoordeling of er sprake is van een afvalstof of niet-afvalstof sprake is van dezelfde herkomst</w:t>
      </w:r>
      <w:r w:rsidR="00915803">
        <w:t xml:space="preserve"> en ingangsmaterialen</w:t>
      </w:r>
      <w:r>
        <w:t xml:space="preserve">, </w:t>
      </w:r>
      <w:r w:rsidR="004A386A">
        <w:t xml:space="preserve">dezelfde verwerking, </w:t>
      </w:r>
      <w:r>
        <w:t xml:space="preserve">dezelfde aard en eigenschappen, </w:t>
      </w:r>
      <w:r w:rsidR="005954B9">
        <w:t xml:space="preserve">dezelfde samenstelling, </w:t>
      </w:r>
      <w:r>
        <w:t>dezelfde toepassing, het</w:t>
      </w:r>
      <w:r w:rsidR="00EF7F93">
        <w:t>zelfde</w:t>
      </w:r>
      <w:r>
        <w:t xml:space="preserve"> moment van toetsen in de keten, </w:t>
      </w:r>
      <w:r w:rsidR="00EF7F93">
        <w:t>dezelfde wetgeving</w:t>
      </w:r>
      <w:r w:rsidR="00D01321">
        <w:t>,</w:t>
      </w:r>
      <w:r w:rsidR="005954B9">
        <w:t xml:space="preserve"> beleid </w:t>
      </w:r>
      <w:r w:rsidR="00D01321">
        <w:t>en private normen,</w:t>
      </w:r>
      <w:r w:rsidR="00EF7F93">
        <w:t xml:space="preserve"> dezelfde wetenschappelijke inzichten</w:t>
      </w:r>
      <w:r w:rsidR="00E239C4">
        <w:t xml:space="preserve"> en dezelfde marktomstandigheden</w:t>
      </w:r>
      <w:r w:rsidR="00EF7F93">
        <w:t xml:space="preserve">, </w:t>
      </w:r>
      <w:r>
        <w:t xml:space="preserve">dan is er sprake van hetzelfde geval. </w:t>
      </w:r>
    </w:p>
    <w:p w14:paraId="183E2CA4" w14:textId="77777777" w:rsidR="00EF7F93" w:rsidRDefault="00EF7F93" w:rsidP="00F211FF"/>
    <w:p w14:paraId="7450C229" w14:textId="29573ABC" w:rsidR="00AB2478" w:rsidRPr="003F5EB0" w:rsidRDefault="00F211FF" w:rsidP="00C011BD">
      <w:r>
        <w:t>Bij afwijking op één of meer van deze punten is er sprake van een nieuw geval en zal een nieuwe beoordeling afvalstof of niet-afvalstof moeten worden gemaakt.</w:t>
      </w:r>
    </w:p>
    <w:sectPr w:rsidR="00AB2478" w:rsidRPr="003F5EB0" w:rsidSect="000B3F9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4B8A" w14:textId="77777777" w:rsidR="008E49CB" w:rsidRDefault="008E49CB" w:rsidP="0088501B">
      <w:r>
        <w:separator/>
      </w:r>
    </w:p>
  </w:endnote>
  <w:endnote w:type="continuationSeparator" w:id="0">
    <w:p w14:paraId="1F5DE9AE" w14:textId="77777777" w:rsidR="008E49CB" w:rsidRDefault="008E49CB"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3623" w14:textId="77777777"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F921" w14:textId="77777777"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23AB" w14:textId="77777777"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BCEC" w14:textId="77777777" w:rsidR="008E49CB" w:rsidRDefault="008E49CB" w:rsidP="0088501B">
      <w:r>
        <w:separator/>
      </w:r>
    </w:p>
  </w:footnote>
  <w:footnote w:type="continuationSeparator" w:id="0">
    <w:p w14:paraId="35F89669" w14:textId="77777777" w:rsidR="008E49CB" w:rsidRDefault="008E49CB" w:rsidP="0088501B">
      <w:r>
        <w:continuationSeparator/>
      </w:r>
    </w:p>
  </w:footnote>
  <w:footnote w:id="1">
    <w:p w14:paraId="0A321338" w14:textId="12E70220" w:rsidR="000472B2" w:rsidRPr="000472B2" w:rsidRDefault="000472B2">
      <w:pPr>
        <w:pStyle w:val="Voetnoottekst"/>
        <w:rPr>
          <w:sz w:val="16"/>
          <w:szCs w:val="16"/>
        </w:rPr>
      </w:pPr>
      <w:r w:rsidRPr="000472B2">
        <w:rPr>
          <w:rStyle w:val="Voetnootmarkering"/>
          <w:sz w:val="16"/>
          <w:szCs w:val="16"/>
        </w:rPr>
        <w:footnoteRef/>
      </w:r>
      <w:r w:rsidRPr="000472B2">
        <w:rPr>
          <w:sz w:val="16"/>
          <w:szCs w:val="16"/>
        </w:rPr>
        <w:t xml:space="preserve"> Zie </w:t>
      </w:r>
      <w:r>
        <w:rPr>
          <w:sz w:val="16"/>
          <w:szCs w:val="16"/>
        </w:rPr>
        <w:t>[paragraaf 1.3.2 van het hoofdstuk afvalstof of niet-afvalstof van het CMP] voor een compleet overzicht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8FDA" w14:textId="77777777"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2BDE" w14:textId="77777777"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BB9E" w14:textId="77777777"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3172F07"/>
    <w:multiLevelType w:val="hybridMultilevel"/>
    <w:tmpl w:val="C8A87BCE"/>
    <w:lvl w:ilvl="0" w:tplc="FCAA9E3A">
      <w:start w:val="1"/>
      <w:numFmt w:val="bullet"/>
      <w:lvlText w:val=""/>
      <w:lvlJc w:val="left"/>
      <w:pPr>
        <w:ind w:left="1440" w:hanging="360"/>
      </w:pPr>
      <w:rPr>
        <w:rFonts w:ascii="Symbol" w:hAnsi="Symbol"/>
      </w:rPr>
    </w:lvl>
    <w:lvl w:ilvl="1" w:tplc="8C4E1D6A">
      <w:start w:val="1"/>
      <w:numFmt w:val="bullet"/>
      <w:lvlText w:val=""/>
      <w:lvlJc w:val="left"/>
      <w:pPr>
        <w:ind w:left="1440" w:hanging="360"/>
      </w:pPr>
      <w:rPr>
        <w:rFonts w:ascii="Symbol" w:hAnsi="Symbol"/>
      </w:rPr>
    </w:lvl>
    <w:lvl w:ilvl="2" w:tplc="B87AA3BE">
      <w:start w:val="1"/>
      <w:numFmt w:val="bullet"/>
      <w:lvlText w:val=""/>
      <w:lvlJc w:val="left"/>
      <w:pPr>
        <w:ind w:left="1440" w:hanging="360"/>
      </w:pPr>
      <w:rPr>
        <w:rFonts w:ascii="Symbol" w:hAnsi="Symbol"/>
      </w:rPr>
    </w:lvl>
    <w:lvl w:ilvl="3" w:tplc="3D3691CE">
      <w:start w:val="1"/>
      <w:numFmt w:val="bullet"/>
      <w:lvlText w:val=""/>
      <w:lvlJc w:val="left"/>
      <w:pPr>
        <w:ind w:left="1440" w:hanging="360"/>
      </w:pPr>
      <w:rPr>
        <w:rFonts w:ascii="Symbol" w:hAnsi="Symbol"/>
      </w:rPr>
    </w:lvl>
    <w:lvl w:ilvl="4" w:tplc="28409B32">
      <w:start w:val="1"/>
      <w:numFmt w:val="bullet"/>
      <w:lvlText w:val=""/>
      <w:lvlJc w:val="left"/>
      <w:pPr>
        <w:ind w:left="1440" w:hanging="360"/>
      </w:pPr>
      <w:rPr>
        <w:rFonts w:ascii="Symbol" w:hAnsi="Symbol"/>
      </w:rPr>
    </w:lvl>
    <w:lvl w:ilvl="5" w:tplc="5C06B5C6">
      <w:start w:val="1"/>
      <w:numFmt w:val="bullet"/>
      <w:lvlText w:val=""/>
      <w:lvlJc w:val="left"/>
      <w:pPr>
        <w:ind w:left="1440" w:hanging="360"/>
      </w:pPr>
      <w:rPr>
        <w:rFonts w:ascii="Symbol" w:hAnsi="Symbol"/>
      </w:rPr>
    </w:lvl>
    <w:lvl w:ilvl="6" w:tplc="F41694D8">
      <w:start w:val="1"/>
      <w:numFmt w:val="bullet"/>
      <w:lvlText w:val=""/>
      <w:lvlJc w:val="left"/>
      <w:pPr>
        <w:ind w:left="1440" w:hanging="360"/>
      </w:pPr>
      <w:rPr>
        <w:rFonts w:ascii="Symbol" w:hAnsi="Symbol"/>
      </w:rPr>
    </w:lvl>
    <w:lvl w:ilvl="7" w:tplc="B254B0D8">
      <w:start w:val="1"/>
      <w:numFmt w:val="bullet"/>
      <w:lvlText w:val=""/>
      <w:lvlJc w:val="left"/>
      <w:pPr>
        <w:ind w:left="1440" w:hanging="360"/>
      </w:pPr>
      <w:rPr>
        <w:rFonts w:ascii="Symbol" w:hAnsi="Symbol"/>
      </w:rPr>
    </w:lvl>
    <w:lvl w:ilvl="8" w:tplc="EB941588">
      <w:start w:val="1"/>
      <w:numFmt w:val="bullet"/>
      <w:lvlText w:val=""/>
      <w:lvlJc w:val="left"/>
      <w:pPr>
        <w:ind w:left="1440" w:hanging="360"/>
      </w:pPr>
      <w:rPr>
        <w:rFonts w:ascii="Symbol" w:hAnsi="Symbol"/>
      </w:rPr>
    </w:lvl>
  </w:abstractNum>
  <w:abstractNum w:abstractNumId="5" w15:restartNumberingAfterBreak="0">
    <w:nsid w:val="04AF55C7"/>
    <w:multiLevelType w:val="multilevel"/>
    <w:tmpl w:val="06962652"/>
    <w:numStyleLink w:val="Lijststijl"/>
  </w:abstractNum>
  <w:abstractNum w:abstractNumId="6" w15:restartNumberingAfterBreak="0">
    <w:nsid w:val="063964C2"/>
    <w:multiLevelType w:val="multilevel"/>
    <w:tmpl w:val="06962652"/>
    <w:numStyleLink w:val="Lijststijl"/>
  </w:abstractNum>
  <w:abstractNum w:abstractNumId="7"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9483BD7"/>
    <w:multiLevelType w:val="multilevel"/>
    <w:tmpl w:val="06962652"/>
    <w:numStyleLink w:val="Lijststijl"/>
  </w:abstractNum>
  <w:abstractNum w:abstractNumId="9" w15:restartNumberingAfterBreak="0">
    <w:nsid w:val="0A9D5DE4"/>
    <w:multiLevelType w:val="multilevel"/>
    <w:tmpl w:val="06962652"/>
    <w:numStyleLink w:val="Lijststijl"/>
  </w:abstractNum>
  <w:abstractNum w:abstractNumId="10"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1"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3" w15:restartNumberingAfterBreak="0">
    <w:nsid w:val="1895513E"/>
    <w:multiLevelType w:val="multilevel"/>
    <w:tmpl w:val="06962652"/>
    <w:numStyleLink w:val="Lijststijl"/>
  </w:abstractNum>
  <w:abstractNum w:abstractNumId="14" w15:restartNumberingAfterBreak="0">
    <w:nsid w:val="18F65698"/>
    <w:multiLevelType w:val="multilevel"/>
    <w:tmpl w:val="06962652"/>
    <w:numStyleLink w:val="Lijststijl"/>
  </w:abstractNum>
  <w:abstractNum w:abstractNumId="15"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F82458"/>
    <w:multiLevelType w:val="multilevel"/>
    <w:tmpl w:val="6A8E5BD4"/>
    <w:numStyleLink w:val="Stijl2"/>
  </w:abstractNum>
  <w:abstractNum w:abstractNumId="17"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8"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9" w15:restartNumberingAfterBreak="0">
    <w:nsid w:val="31CB79D8"/>
    <w:multiLevelType w:val="multilevel"/>
    <w:tmpl w:val="06962652"/>
    <w:numStyleLink w:val="Lijststijl"/>
  </w:abstractNum>
  <w:abstractNum w:abstractNumId="20" w15:restartNumberingAfterBreak="0">
    <w:nsid w:val="31E853D2"/>
    <w:multiLevelType w:val="multilevel"/>
    <w:tmpl w:val="06962652"/>
    <w:numStyleLink w:val="Lijststijl"/>
  </w:abstractNum>
  <w:abstractNum w:abstractNumId="21"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A6389A"/>
    <w:multiLevelType w:val="multilevel"/>
    <w:tmpl w:val="6A8E5BD4"/>
    <w:numStyleLink w:val="Stijl2"/>
  </w:abstractNum>
  <w:abstractNum w:abstractNumId="23"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8E54DC"/>
    <w:multiLevelType w:val="hybridMultilevel"/>
    <w:tmpl w:val="B0DC68B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DB631B"/>
    <w:multiLevelType w:val="multilevel"/>
    <w:tmpl w:val="06962652"/>
    <w:numStyleLink w:val="Lijststijl"/>
  </w:abstractNum>
  <w:abstractNum w:abstractNumId="27"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9" w15:restartNumberingAfterBreak="0">
    <w:nsid w:val="55D6490D"/>
    <w:multiLevelType w:val="hybridMultilevel"/>
    <w:tmpl w:val="FE6C1EEC"/>
    <w:lvl w:ilvl="0" w:tplc="06C8A2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AF5D0D"/>
    <w:multiLevelType w:val="multilevel"/>
    <w:tmpl w:val="06962652"/>
    <w:numStyleLink w:val="Lijststijl"/>
  </w:abstractNum>
  <w:abstractNum w:abstractNumId="31" w15:restartNumberingAfterBreak="0">
    <w:nsid w:val="5D2649BE"/>
    <w:multiLevelType w:val="hybridMultilevel"/>
    <w:tmpl w:val="724EA890"/>
    <w:lvl w:ilvl="0" w:tplc="32D68C0C">
      <w:start w:val="1"/>
      <w:numFmt w:val="bullet"/>
      <w:lvlText w:val=""/>
      <w:lvlJc w:val="left"/>
      <w:pPr>
        <w:ind w:left="1440" w:hanging="360"/>
      </w:pPr>
      <w:rPr>
        <w:rFonts w:ascii="Symbol" w:hAnsi="Symbol"/>
      </w:rPr>
    </w:lvl>
    <w:lvl w:ilvl="1" w:tplc="2E2E06FE">
      <w:start w:val="1"/>
      <w:numFmt w:val="bullet"/>
      <w:lvlText w:val=""/>
      <w:lvlJc w:val="left"/>
      <w:pPr>
        <w:ind w:left="1440" w:hanging="360"/>
      </w:pPr>
      <w:rPr>
        <w:rFonts w:ascii="Symbol" w:hAnsi="Symbol"/>
      </w:rPr>
    </w:lvl>
    <w:lvl w:ilvl="2" w:tplc="8E4A264A">
      <w:start w:val="1"/>
      <w:numFmt w:val="bullet"/>
      <w:lvlText w:val=""/>
      <w:lvlJc w:val="left"/>
      <w:pPr>
        <w:ind w:left="1440" w:hanging="360"/>
      </w:pPr>
      <w:rPr>
        <w:rFonts w:ascii="Symbol" w:hAnsi="Symbol"/>
      </w:rPr>
    </w:lvl>
    <w:lvl w:ilvl="3" w:tplc="52645F86">
      <w:start w:val="1"/>
      <w:numFmt w:val="bullet"/>
      <w:lvlText w:val=""/>
      <w:lvlJc w:val="left"/>
      <w:pPr>
        <w:ind w:left="1440" w:hanging="360"/>
      </w:pPr>
      <w:rPr>
        <w:rFonts w:ascii="Symbol" w:hAnsi="Symbol"/>
      </w:rPr>
    </w:lvl>
    <w:lvl w:ilvl="4" w:tplc="24145E3A">
      <w:start w:val="1"/>
      <w:numFmt w:val="bullet"/>
      <w:lvlText w:val=""/>
      <w:lvlJc w:val="left"/>
      <w:pPr>
        <w:ind w:left="1440" w:hanging="360"/>
      </w:pPr>
      <w:rPr>
        <w:rFonts w:ascii="Symbol" w:hAnsi="Symbol"/>
      </w:rPr>
    </w:lvl>
    <w:lvl w:ilvl="5" w:tplc="5DAADA40">
      <w:start w:val="1"/>
      <w:numFmt w:val="bullet"/>
      <w:lvlText w:val=""/>
      <w:lvlJc w:val="left"/>
      <w:pPr>
        <w:ind w:left="1440" w:hanging="360"/>
      </w:pPr>
      <w:rPr>
        <w:rFonts w:ascii="Symbol" w:hAnsi="Symbol"/>
      </w:rPr>
    </w:lvl>
    <w:lvl w:ilvl="6" w:tplc="71D22730">
      <w:start w:val="1"/>
      <w:numFmt w:val="bullet"/>
      <w:lvlText w:val=""/>
      <w:lvlJc w:val="left"/>
      <w:pPr>
        <w:ind w:left="1440" w:hanging="360"/>
      </w:pPr>
      <w:rPr>
        <w:rFonts w:ascii="Symbol" w:hAnsi="Symbol"/>
      </w:rPr>
    </w:lvl>
    <w:lvl w:ilvl="7" w:tplc="C4C43882">
      <w:start w:val="1"/>
      <w:numFmt w:val="bullet"/>
      <w:lvlText w:val=""/>
      <w:lvlJc w:val="left"/>
      <w:pPr>
        <w:ind w:left="1440" w:hanging="360"/>
      </w:pPr>
      <w:rPr>
        <w:rFonts w:ascii="Symbol" w:hAnsi="Symbol"/>
      </w:rPr>
    </w:lvl>
    <w:lvl w:ilvl="8" w:tplc="347854FC">
      <w:start w:val="1"/>
      <w:numFmt w:val="bullet"/>
      <w:lvlText w:val=""/>
      <w:lvlJc w:val="left"/>
      <w:pPr>
        <w:ind w:left="1440" w:hanging="360"/>
      </w:pPr>
      <w:rPr>
        <w:rFonts w:ascii="Symbol" w:hAnsi="Symbol"/>
      </w:rPr>
    </w:lvl>
  </w:abstractNum>
  <w:abstractNum w:abstractNumId="32"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710C81"/>
    <w:multiLevelType w:val="hybridMultilevel"/>
    <w:tmpl w:val="416071A6"/>
    <w:lvl w:ilvl="0" w:tplc="BF5C9E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4952C9"/>
    <w:multiLevelType w:val="hybridMultilevel"/>
    <w:tmpl w:val="A32A0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3D6752"/>
    <w:multiLevelType w:val="hybridMultilevel"/>
    <w:tmpl w:val="1218A2C0"/>
    <w:lvl w:ilvl="0" w:tplc="48CC07DE">
      <w:start w:val="1"/>
      <w:numFmt w:val="bullet"/>
      <w:lvlText w:val=""/>
      <w:lvlJc w:val="left"/>
      <w:pPr>
        <w:ind w:left="1440" w:hanging="360"/>
      </w:pPr>
      <w:rPr>
        <w:rFonts w:ascii="Symbol" w:hAnsi="Symbol"/>
      </w:rPr>
    </w:lvl>
    <w:lvl w:ilvl="1" w:tplc="535A0DD6">
      <w:start w:val="1"/>
      <w:numFmt w:val="bullet"/>
      <w:lvlText w:val=""/>
      <w:lvlJc w:val="left"/>
      <w:pPr>
        <w:ind w:left="1440" w:hanging="360"/>
      </w:pPr>
      <w:rPr>
        <w:rFonts w:ascii="Symbol" w:hAnsi="Symbol"/>
      </w:rPr>
    </w:lvl>
    <w:lvl w:ilvl="2" w:tplc="1E0C3356">
      <w:start w:val="1"/>
      <w:numFmt w:val="bullet"/>
      <w:lvlText w:val=""/>
      <w:lvlJc w:val="left"/>
      <w:pPr>
        <w:ind w:left="1440" w:hanging="360"/>
      </w:pPr>
      <w:rPr>
        <w:rFonts w:ascii="Symbol" w:hAnsi="Symbol"/>
      </w:rPr>
    </w:lvl>
    <w:lvl w:ilvl="3" w:tplc="F92CA6D8">
      <w:start w:val="1"/>
      <w:numFmt w:val="bullet"/>
      <w:lvlText w:val=""/>
      <w:lvlJc w:val="left"/>
      <w:pPr>
        <w:ind w:left="1440" w:hanging="360"/>
      </w:pPr>
      <w:rPr>
        <w:rFonts w:ascii="Symbol" w:hAnsi="Symbol"/>
      </w:rPr>
    </w:lvl>
    <w:lvl w:ilvl="4" w:tplc="59A0D7B8">
      <w:start w:val="1"/>
      <w:numFmt w:val="bullet"/>
      <w:lvlText w:val=""/>
      <w:lvlJc w:val="left"/>
      <w:pPr>
        <w:ind w:left="1440" w:hanging="360"/>
      </w:pPr>
      <w:rPr>
        <w:rFonts w:ascii="Symbol" w:hAnsi="Symbol"/>
      </w:rPr>
    </w:lvl>
    <w:lvl w:ilvl="5" w:tplc="6F242D3E">
      <w:start w:val="1"/>
      <w:numFmt w:val="bullet"/>
      <w:lvlText w:val=""/>
      <w:lvlJc w:val="left"/>
      <w:pPr>
        <w:ind w:left="1440" w:hanging="360"/>
      </w:pPr>
      <w:rPr>
        <w:rFonts w:ascii="Symbol" w:hAnsi="Symbol"/>
      </w:rPr>
    </w:lvl>
    <w:lvl w:ilvl="6" w:tplc="F73A1262">
      <w:start w:val="1"/>
      <w:numFmt w:val="bullet"/>
      <w:lvlText w:val=""/>
      <w:lvlJc w:val="left"/>
      <w:pPr>
        <w:ind w:left="1440" w:hanging="360"/>
      </w:pPr>
      <w:rPr>
        <w:rFonts w:ascii="Symbol" w:hAnsi="Symbol"/>
      </w:rPr>
    </w:lvl>
    <w:lvl w:ilvl="7" w:tplc="A2E4AD4C">
      <w:start w:val="1"/>
      <w:numFmt w:val="bullet"/>
      <w:lvlText w:val=""/>
      <w:lvlJc w:val="left"/>
      <w:pPr>
        <w:ind w:left="1440" w:hanging="360"/>
      </w:pPr>
      <w:rPr>
        <w:rFonts w:ascii="Symbol" w:hAnsi="Symbol"/>
      </w:rPr>
    </w:lvl>
    <w:lvl w:ilvl="8" w:tplc="D7E03824">
      <w:start w:val="1"/>
      <w:numFmt w:val="bullet"/>
      <w:lvlText w:val=""/>
      <w:lvlJc w:val="left"/>
      <w:pPr>
        <w:ind w:left="1440" w:hanging="360"/>
      </w:pPr>
      <w:rPr>
        <w:rFonts w:ascii="Symbol" w:hAnsi="Symbol"/>
      </w:rPr>
    </w:lvl>
  </w:abstractNum>
  <w:abstractNum w:abstractNumId="36" w15:restartNumberingAfterBreak="0">
    <w:nsid w:val="79050C84"/>
    <w:multiLevelType w:val="multilevel"/>
    <w:tmpl w:val="06962652"/>
    <w:numStyleLink w:val="Lijststijl"/>
  </w:abstractNum>
  <w:num w:numId="1" w16cid:durableId="1198591777">
    <w:abstractNumId w:val="10"/>
  </w:num>
  <w:num w:numId="2" w16cid:durableId="375279450">
    <w:abstractNumId w:val="12"/>
  </w:num>
  <w:num w:numId="3" w16cid:durableId="242574387">
    <w:abstractNumId w:val="30"/>
  </w:num>
  <w:num w:numId="4" w16cid:durableId="626812840">
    <w:abstractNumId w:val="11"/>
  </w:num>
  <w:num w:numId="5" w16cid:durableId="477304183">
    <w:abstractNumId w:val="16"/>
  </w:num>
  <w:num w:numId="6" w16cid:durableId="112749408">
    <w:abstractNumId w:val="19"/>
  </w:num>
  <w:num w:numId="7" w16cid:durableId="1319194323">
    <w:abstractNumId w:val="2"/>
  </w:num>
  <w:num w:numId="8" w16cid:durableId="1133324927">
    <w:abstractNumId w:val="1"/>
  </w:num>
  <w:num w:numId="9" w16cid:durableId="1888833331">
    <w:abstractNumId w:val="0"/>
  </w:num>
  <w:num w:numId="10" w16cid:durableId="157304384">
    <w:abstractNumId w:val="8"/>
  </w:num>
  <w:num w:numId="11" w16cid:durableId="1602494514">
    <w:abstractNumId w:val="6"/>
  </w:num>
  <w:num w:numId="12" w16cid:durableId="85270102">
    <w:abstractNumId w:val="6"/>
  </w:num>
  <w:num w:numId="13" w16cid:durableId="2141416875">
    <w:abstractNumId w:val="32"/>
  </w:num>
  <w:num w:numId="14" w16cid:durableId="992026846">
    <w:abstractNumId w:val="3"/>
  </w:num>
  <w:num w:numId="15" w16cid:durableId="1109005653">
    <w:abstractNumId w:val="17"/>
  </w:num>
  <w:num w:numId="16" w16cid:durableId="1960910631">
    <w:abstractNumId w:val="23"/>
  </w:num>
  <w:num w:numId="17" w16cid:durableId="964459199">
    <w:abstractNumId w:val="9"/>
  </w:num>
  <w:num w:numId="18" w16cid:durableId="1674524343">
    <w:abstractNumId w:val="20"/>
  </w:num>
  <w:num w:numId="19" w16cid:durableId="1256094408">
    <w:abstractNumId w:val="36"/>
  </w:num>
  <w:num w:numId="20" w16cid:durableId="1951814002">
    <w:abstractNumId w:val="13"/>
  </w:num>
  <w:num w:numId="21" w16cid:durableId="9726036">
    <w:abstractNumId w:val="22"/>
  </w:num>
  <w:num w:numId="22" w16cid:durableId="1637682253">
    <w:abstractNumId w:val="26"/>
  </w:num>
  <w:num w:numId="23" w16cid:durableId="1016468300">
    <w:abstractNumId w:val="18"/>
  </w:num>
  <w:num w:numId="24" w16cid:durableId="980841291">
    <w:abstractNumId w:val="28"/>
  </w:num>
  <w:num w:numId="25" w16cid:durableId="534581095">
    <w:abstractNumId w:val="27"/>
  </w:num>
  <w:num w:numId="26" w16cid:durableId="1162627684">
    <w:abstractNumId w:val="7"/>
  </w:num>
  <w:num w:numId="27" w16cid:durableId="1421952794">
    <w:abstractNumId w:val="15"/>
  </w:num>
  <w:num w:numId="28" w16cid:durableId="2133741293">
    <w:abstractNumId w:val="21"/>
  </w:num>
  <w:num w:numId="29" w16cid:durableId="1856652148">
    <w:abstractNumId w:val="5"/>
  </w:num>
  <w:num w:numId="30" w16cid:durableId="1167206544">
    <w:abstractNumId w:val="14"/>
  </w:num>
  <w:num w:numId="31" w16cid:durableId="1465583553">
    <w:abstractNumId w:val="25"/>
  </w:num>
  <w:num w:numId="32" w16cid:durableId="1844271630">
    <w:abstractNumId w:val="29"/>
  </w:num>
  <w:num w:numId="33" w16cid:durableId="1194072614">
    <w:abstractNumId w:val="24"/>
  </w:num>
  <w:num w:numId="34" w16cid:durableId="539825445">
    <w:abstractNumId w:val="33"/>
  </w:num>
  <w:num w:numId="35" w16cid:durableId="1612517396">
    <w:abstractNumId w:val="31"/>
  </w:num>
  <w:num w:numId="36" w16cid:durableId="638148780">
    <w:abstractNumId w:val="4"/>
  </w:num>
  <w:num w:numId="37" w16cid:durableId="228657547">
    <w:abstractNumId w:val="35"/>
  </w:num>
  <w:num w:numId="38" w16cid:durableId="1424911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CB"/>
    <w:rsid w:val="00015F27"/>
    <w:rsid w:val="00025628"/>
    <w:rsid w:val="00030BF4"/>
    <w:rsid w:val="000341C9"/>
    <w:rsid w:val="000355DA"/>
    <w:rsid w:val="00036E2D"/>
    <w:rsid w:val="00043163"/>
    <w:rsid w:val="000472B2"/>
    <w:rsid w:val="00056D70"/>
    <w:rsid w:val="0006256E"/>
    <w:rsid w:val="00075393"/>
    <w:rsid w:val="00084214"/>
    <w:rsid w:val="00097535"/>
    <w:rsid w:val="000B3F94"/>
    <w:rsid w:val="000D55F0"/>
    <w:rsid w:val="000E1F3B"/>
    <w:rsid w:val="001407BC"/>
    <w:rsid w:val="00173156"/>
    <w:rsid w:val="001A5043"/>
    <w:rsid w:val="001A6CD6"/>
    <w:rsid w:val="001B34D9"/>
    <w:rsid w:val="001C6AD2"/>
    <w:rsid w:val="001D6F03"/>
    <w:rsid w:val="001E1780"/>
    <w:rsid w:val="001E22CE"/>
    <w:rsid w:val="00221349"/>
    <w:rsid w:val="0024524F"/>
    <w:rsid w:val="00250D68"/>
    <w:rsid w:val="00261560"/>
    <w:rsid w:val="002665FB"/>
    <w:rsid w:val="002949D3"/>
    <w:rsid w:val="002A6578"/>
    <w:rsid w:val="002B1092"/>
    <w:rsid w:val="002B18CB"/>
    <w:rsid w:val="002B3AD8"/>
    <w:rsid w:val="002B40E7"/>
    <w:rsid w:val="002C278B"/>
    <w:rsid w:val="002C29DB"/>
    <w:rsid w:val="002E0FD2"/>
    <w:rsid w:val="0033167F"/>
    <w:rsid w:val="00332E68"/>
    <w:rsid w:val="0038549E"/>
    <w:rsid w:val="003934A9"/>
    <w:rsid w:val="003A1F56"/>
    <w:rsid w:val="003B0BDF"/>
    <w:rsid w:val="003C4BF2"/>
    <w:rsid w:val="003D51FB"/>
    <w:rsid w:val="003E742F"/>
    <w:rsid w:val="003F4601"/>
    <w:rsid w:val="003F5EB0"/>
    <w:rsid w:val="003F6EDB"/>
    <w:rsid w:val="0040142D"/>
    <w:rsid w:val="0040571B"/>
    <w:rsid w:val="004143C5"/>
    <w:rsid w:val="00417E4C"/>
    <w:rsid w:val="00450447"/>
    <w:rsid w:val="00451F21"/>
    <w:rsid w:val="00454161"/>
    <w:rsid w:val="004968F4"/>
    <w:rsid w:val="004A386A"/>
    <w:rsid w:val="004B0EA1"/>
    <w:rsid w:val="004B4DCC"/>
    <w:rsid w:val="004C423B"/>
    <w:rsid w:val="004D766D"/>
    <w:rsid w:val="004E313E"/>
    <w:rsid w:val="004F6EB2"/>
    <w:rsid w:val="00584103"/>
    <w:rsid w:val="005954B9"/>
    <w:rsid w:val="005A4FBE"/>
    <w:rsid w:val="005A56C7"/>
    <w:rsid w:val="005C2AAD"/>
    <w:rsid w:val="005D2CF1"/>
    <w:rsid w:val="005E046F"/>
    <w:rsid w:val="005E5BF4"/>
    <w:rsid w:val="006006F5"/>
    <w:rsid w:val="00606963"/>
    <w:rsid w:val="00632161"/>
    <w:rsid w:val="00641A40"/>
    <w:rsid w:val="00650A9B"/>
    <w:rsid w:val="006B45F7"/>
    <w:rsid w:val="006D2E66"/>
    <w:rsid w:val="006F10EE"/>
    <w:rsid w:val="006F42D7"/>
    <w:rsid w:val="0072502D"/>
    <w:rsid w:val="007435A7"/>
    <w:rsid w:val="0075095E"/>
    <w:rsid w:val="007534BD"/>
    <w:rsid w:val="00765200"/>
    <w:rsid w:val="007731D3"/>
    <w:rsid w:val="00786BEF"/>
    <w:rsid w:val="007B0EC9"/>
    <w:rsid w:val="007D48E7"/>
    <w:rsid w:val="007E47E3"/>
    <w:rsid w:val="007F2BA4"/>
    <w:rsid w:val="007F4AEA"/>
    <w:rsid w:val="008017E8"/>
    <w:rsid w:val="00814E46"/>
    <w:rsid w:val="00851DF2"/>
    <w:rsid w:val="0088386A"/>
    <w:rsid w:val="0088501B"/>
    <w:rsid w:val="008921A7"/>
    <w:rsid w:val="008A16CD"/>
    <w:rsid w:val="008A1D77"/>
    <w:rsid w:val="008A4260"/>
    <w:rsid w:val="008D2753"/>
    <w:rsid w:val="008E3581"/>
    <w:rsid w:val="008E49CB"/>
    <w:rsid w:val="008F5DC1"/>
    <w:rsid w:val="00905289"/>
    <w:rsid w:val="00915803"/>
    <w:rsid w:val="00924D58"/>
    <w:rsid w:val="00970C1D"/>
    <w:rsid w:val="009876E6"/>
    <w:rsid w:val="009C5CF5"/>
    <w:rsid w:val="009E0E89"/>
    <w:rsid w:val="00A031D5"/>
    <w:rsid w:val="00A32591"/>
    <w:rsid w:val="00A70A17"/>
    <w:rsid w:val="00A77ABF"/>
    <w:rsid w:val="00A80882"/>
    <w:rsid w:val="00A863E9"/>
    <w:rsid w:val="00AB2478"/>
    <w:rsid w:val="00AD69E9"/>
    <w:rsid w:val="00AE46B1"/>
    <w:rsid w:val="00AE7A3F"/>
    <w:rsid w:val="00B022C4"/>
    <w:rsid w:val="00B21055"/>
    <w:rsid w:val="00B23500"/>
    <w:rsid w:val="00B44063"/>
    <w:rsid w:val="00B54A98"/>
    <w:rsid w:val="00B559E9"/>
    <w:rsid w:val="00B72222"/>
    <w:rsid w:val="00B80650"/>
    <w:rsid w:val="00B830C6"/>
    <w:rsid w:val="00B908F7"/>
    <w:rsid w:val="00BB74E3"/>
    <w:rsid w:val="00BC5139"/>
    <w:rsid w:val="00BC5C2B"/>
    <w:rsid w:val="00BE1597"/>
    <w:rsid w:val="00BF24B5"/>
    <w:rsid w:val="00C011BD"/>
    <w:rsid w:val="00C36FAA"/>
    <w:rsid w:val="00C40C93"/>
    <w:rsid w:val="00C465F8"/>
    <w:rsid w:val="00C71133"/>
    <w:rsid w:val="00CA55CC"/>
    <w:rsid w:val="00CB3317"/>
    <w:rsid w:val="00CE1544"/>
    <w:rsid w:val="00CE1832"/>
    <w:rsid w:val="00D01321"/>
    <w:rsid w:val="00D33FA5"/>
    <w:rsid w:val="00D36598"/>
    <w:rsid w:val="00DA3555"/>
    <w:rsid w:val="00DC734B"/>
    <w:rsid w:val="00DD0BF5"/>
    <w:rsid w:val="00DE1785"/>
    <w:rsid w:val="00E239C4"/>
    <w:rsid w:val="00E456EE"/>
    <w:rsid w:val="00E54907"/>
    <w:rsid w:val="00E93FF7"/>
    <w:rsid w:val="00EC0E6A"/>
    <w:rsid w:val="00EC5D30"/>
    <w:rsid w:val="00ED7AB9"/>
    <w:rsid w:val="00EE5BBE"/>
    <w:rsid w:val="00EF6263"/>
    <w:rsid w:val="00EF7F93"/>
    <w:rsid w:val="00F161B4"/>
    <w:rsid w:val="00F211FF"/>
    <w:rsid w:val="00F47E76"/>
    <w:rsid w:val="00F65492"/>
    <w:rsid w:val="00F902FB"/>
    <w:rsid w:val="00F911DA"/>
    <w:rsid w:val="00FA5288"/>
    <w:rsid w:val="00FB0705"/>
    <w:rsid w:val="00FD0278"/>
    <w:rsid w:val="00FF0FEF"/>
    <w:rsid w:val="00FF1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3F97"/>
  <w15:chartTrackingRefBased/>
  <w15:docId w15:val="{5CCD3D7F-04E7-4241-8F00-7001812F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paragraph" w:styleId="Kop6">
    <w:name w:val="heading 6"/>
    <w:basedOn w:val="Standaard"/>
    <w:next w:val="Standaard"/>
    <w:link w:val="Kop6Char"/>
    <w:uiPriority w:val="9"/>
    <w:semiHidden/>
    <w:rsid w:val="008E49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qFormat/>
    <w:rsid w:val="008E49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qFormat/>
    <w:rsid w:val="008E49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qFormat/>
    <w:rsid w:val="008E49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customStyle="1" w:styleId="Kop6Char">
    <w:name w:val="Kop 6 Char"/>
    <w:basedOn w:val="Standaardalinea-lettertype"/>
    <w:link w:val="Kop6"/>
    <w:uiPriority w:val="9"/>
    <w:semiHidden/>
    <w:rsid w:val="008E49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49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49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49CB"/>
    <w:rPr>
      <w:rFonts w:eastAsiaTheme="majorEastAsia" w:cstheme="majorBidi"/>
      <w:color w:val="272727" w:themeColor="text1" w:themeTint="D8"/>
    </w:rPr>
  </w:style>
  <w:style w:type="character" w:styleId="Verwijzingopmerking">
    <w:name w:val="annotation reference"/>
    <w:basedOn w:val="Standaardalinea-lettertype"/>
    <w:uiPriority w:val="99"/>
    <w:semiHidden/>
    <w:unhideWhenUsed/>
    <w:rsid w:val="00F161B4"/>
    <w:rPr>
      <w:sz w:val="16"/>
      <w:szCs w:val="16"/>
    </w:rPr>
  </w:style>
  <w:style w:type="paragraph" w:styleId="Tekstopmerking">
    <w:name w:val="annotation text"/>
    <w:basedOn w:val="Standaard"/>
    <w:link w:val="TekstopmerkingChar"/>
    <w:uiPriority w:val="99"/>
    <w:unhideWhenUsed/>
    <w:rsid w:val="00F161B4"/>
    <w:rPr>
      <w:sz w:val="20"/>
      <w:szCs w:val="20"/>
    </w:rPr>
  </w:style>
  <w:style w:type="character" w:customStyle="1" w:styleId="TekstopmerkingChar">
    <w:name w:val="Tekst opmerking Char"/>
    <w:basedOn w:val="Standaardalinea-lettertype"/>
    <w:link w:val="Tekstopmerking"/>
    <w:uiPriority w:val="99"/>
    <w:rsid w:val="00F161B4"/>
    <w:rPr>
      <w:sz w:val="20"/>
      <w:szCs w:val="20"/>
    </w:rPr>
  </w:style>
  <w:style w:type="paragraph" w:styleId="Onderwerpvanopmerking">
    <w:name w:val="annotation subject"/>
    <w:basedOn w:val="Tekstopmerking"/>
    <w:next w:val="Tekstopmerking"/>
    <w:link w:val="OnderwerpvanopmerkingChar"/>
    <w:uiPriority w:val="99"/>
    <w:semiHidden/>
    <w:unhideWhenUsed/>
    <w:rsid w:val="00F161B4"/>
    <w:rPr>
      <w:b/>
      <w:bCs/>
    </w:rPr>
  </w:style>
  <w:style w:type="character" w:customStyle="1" w:styleId="OnderwerpvanopmerkingChar">
    <w:name w:val="Onderwerp van opmerking Char"/>
    <w:basedOn w:val="TekstopmerkingChar"/>
    <w:link w:val="Onderwerpvanopmerking"/>
    <w:uiPriority w:val="99"/>
    <w:semiHidden/>
    <w:rsid w:val="00F161B4"/>
    <w:rPr>
      <w:b/>
      <w:bCs/>
      <w:sz w:val="20"/>
      <w:szCs w:val="20"/>
    </w:rPr>
  </w:style>
  <w:style w:type="character" w:styleId="Hyperlink">
    <w:name w:val="Hyperlink"/>
    <w:basedOn w:val="Standaardalinea-lettertype"/>
    <w:uiPriority w:val="99"/>
    <w:unhideWhenUsed/>
    <w:rsid w:val="001E22CE"/>
    <w:rPr>
      <w:color w:val="007BC7" w:themeColor="hyperlink"/>
      <w:u w:val="single"/>
    </w:rPr>
  </w:style>
  <w:style w:type="paragraph" w:styleId="Revisie">
    <w:name w:val="Revision"/>
    <w:hidden/>
    <w:uiPriority w:val="99"/>
    <w:semiHidden/>
    <w:rsid w:val="00632161"/>
  </w:style>
  <w:style w:type="character" w:styleId="Onopgelostemelding">
    <w:name w:val="Unresolved Mention"/>
    <w:basedOn w:val="Standaardalinea-lettertype"/>
    <w:uiPriority w:val="99"/>
    <w:semiHidden/>
    <w:unhideWhenUsed/>
    <w:rsid w:val="000341C9"/>
    <w:rPr>
      <w:color w:val="605E5C"/>
      <w:shd w:val="clear" w:color="auto" w:fill="E1DFDD"/>
    </w:rPr>
  </w:style>
  <w:style w:type="paragraph" w:styleId="Voetnoottekst">
    <w:name w:val="footnote text"/>
    <w:basedOn w:val="Standaard"/>
    <w:link w:val="VoetnoottekstChar"/>
    <w:uiPriority w:val="99"/>
    <w:semiHidden/>
    <w:unhideWhenUsed/>
    <w:rsid w:val="000472B2"/>
    <w:rPr>
      <w:sz w:val="20"/>
      <w:szCs w:val="20"/>
    </w:rPr>
  </w:style>
  <w:style w:type="character" w:customStyle="1" w:styleId="VoetnoottekstChar">
    <w:name w:val="Voetnoottekst Char"/>
    <w:basedOn w:val="Standaardalinea-lettertype"/>
    <w:link w:val="Voetnoottekst"/>
    <w:uiPriority w:val="99"/>
    <w:semiHidden/>
    <w:rsid w:val="000472B2"/>
    <w:rPr>
      <w:sz w:val="20"/>
      <w:szCs w:val="20"/>
    </w:rPr>
  </w:style>
  <w:style w:type="character" w:styleId="Voetnootmarkering">
    <w:name w:val="footnote reference"/>
    <w:basedOn w:val="Standaardalinea-lettertype"/>
    <w:uiPriority w:val="99"/>
    <w:semiHidden/>
    <w:unhideWhenUsed/>
    <w:rsid w:val="00047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238196">
      <w:bodyDiv w:val="1"/>
      <w:marLeft w:val="0"/>
      <w:marRight w:val="0"/>
      <w:marTop w:val="0"/>
      <w:marBottom w:val="0"/>
      <w:divBdr>
        <w:top w:val="none" w:sz="0" w:space="0" w:color="auto"/>
        <w:left w:val="none" w:sz="0" w:space="0" w:color="auto"/>
        <w:bottom w:val="none" w:sz="0" w:space="0" w:color="auto"/>
        <w:right w:val="none" w:sz="0" w:space="0" w:color="auto"/>
      </w:divBdr>
    </w:div>
    <w:div w:id="19234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3" ma:contentTypeDescription="Een nieuw document maken." ma:contentTypeScope="" ma:versionID="5a945e5bd0d942a7aba8a06ef0b25d8e">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aa769e3578b8aa7caf2d6cecd1741067"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Props1.xml><?xml version="1.0" encoding="utf-8"?>
<ds:datastoreItem xmlns:ds="http://schemas.openxmlformats.org/officeDocument/2006/customXml" ds:itemID="{120F2253-AD3C-4D6C-9520-D86681629321}">
  <ds:schemaRefs>
    <ds:schemaRef ds:uri="http://schemas.microsoft.com/sharepoint/v3/contenttype/forms"/>
  </ds:schemaRefs>
</ds:datastoreItem>
</file>

<file path=customXml/itemProps2.xml><?xml version="1.0" encoding="utf-8"?>
<ds:datastoreItem xmlns:ds="http://schemas.openxmlformats.org/officeDocument/2006/customXml" ds:itemID="{BFE28048-0BE7-4D73-9947-F1C6109D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79e9-2c95-4ffa-9fae-55f86abdea63"/>
    <ds:schemaRef ds:uri="d227edda-b048-4443-82e6-7a7a6a098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14BCC-6563-4538-979D-A1AB2DFBC7B1}">
  <ds:schemaRefs>
    <ds:schemaRef ds:uri="http://schemas.openxmlformats.org/officeDocument/2006/bibliography"/>
  </ds:schemaRefs>
</ds:datastoreItem>
</file>

<file path=customXml/itemProps4.xml><?xml version="1.0" encoding="utf-8"?>
<ds:datastoreItem xmlns:ds="http://schemas.openxmlformats.org/officeDocument/2006/customXml" ds:itemID="{DED2AD50-3E84-43CA-9E32-F9F84EF0B315}">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1833</Words>
  <Characters>10086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Hindriks, Marjan (RWS WVL)</dc:creator>
  <cp:keywords/>
  <dc:description/>
  <cp:lastModifiedBy>Milan Lenters</cp:lastModifiedBy>
  <cp:revision>2</cp:revision>
  <dcterms:created xsi:type="dcterms:W3CDTF">2025-04-24T11:47:00Z</dcterms:created>
  <dcterms:modified xsi:type="dcterms:W3CDTF">2025-04-24T11:47:00Z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ies>
</file>